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878D" w14:textId="77777777" w:rsidR="00445E3A" w:rsidRPr="00445E3A" w:rsidRDefault="00445E3A" w:rsidP="00445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545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464545"/>
          <w:sz w:val="23"/>
          <w:szCs w:val="23"/>
          <w:lang w:eastAsia="pl-PL"/>
        </w:rPr>
        <w:t>Harmonogram rekrutacji Szkoły Doktorskiej Uniwersytetu Przyrodniczego w Lublinie w ramach programu Doktorat Wdrożeniowy na rok akademicki 2022/2023</w:t>
      </w:r>
    </w:p>
    <w:p w14:paraId="46A7E3AB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Do </w:t>
      </w: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12 maja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 uzgodnienie z promotorami pracy doktorskiej tematu oraz obszaru planowanych badań. Ponadto, przygotowanie wszystkich niezbędnych informacji do złożenia pierwszej części wniosku w systemie ZSUN/OSF (realizacja założonych działań powinna być na tym etapie uzgodniona z firmą/przedsiębiorstwem zainteresowanym współpracą w ramach </w:t>
      </w:r>
      <w:r w:rsidRPr="00445E3A">
        <w:rPr>
          <w:rFonts w:ascii="Arial" w:eastAsia="Times New Roman" w:hAnsi="Arial" w:cs="Arial"/>
          <w:i/>
          <w:iCs/>
          <w:color w:val="092F20"/>
          <w:sz w:val="23"/>
          <w:szCs w:val="23"/>
          <w:lang w:eastAsia="pl-PL"/>
        </w:rPr>
        <w:t>Programu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)</w:t>
      </w:r>
    </w:p>
    <w:p w14:paraId="31D600D9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Do </w:t>
      </w: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24 maja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 wprowadzenie niezbędnych danych do wniosku w systemie ZSUN/OSF oraz udostępnienie wniosku pracownikom Działu Nauki Uniwersytetu Przyrodniczego w Lublinie</w:t>
      </w:r>
    </w:p>
    <w:p w14:paraId="79EB439E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Do </w:t>
      </w: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 czerwca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 wysyłka wniosku za pośrednictwem systemu.</w:t>
      </w:r>
    </w:p>
    <w:p w14:paraId="518E0CD8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ogłoszenie na stronie internetowej UP Lublin informacji o rozpoczęciu rekrutacji dodatkowej w związku z realizacją projektów „Doktorat Wdrożeniowy”</w:t>
      </w:r>
    </w:p>
    <w:p w14:paraId="518F8B77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Od </w:t>
      </w: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 września do 9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składanie dokumentów przez kandydatów do Szkoły Doktorskiej</w:t>
      </w:r>
    </w:p>
    <w:p w14:paraId="0AE63BA3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12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ogłoszenie na stronie internetowej UP Lublin informacji o składzie Komisji Rekrutacyjnej (podstrona Szkoły Doktorskiej)</w:t>
      </w:r>
    </w:p>
    <w:p w14:paraId="3D8A82CE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12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zawiadomienie kandydatów o miejscu i godzinie rozmowy kwalifikacyjnej poprzez ogłoszenie na stronie UP Lublin (aktualności – podstrona Szkoły Doktorskiej)</w:t>
      </w:r>
    </w:p>
    <w:p w14:paraId="05C8E138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15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posiedzenie Komisji Rekrutacyjnej, analiza i ocena dorobku kandydatów przez Komisję Rekrutacyjną w oparciu o złożone dokumenty i rozmowy kwalifikacyjne</w:t>
      </w:r>
    </w:p>
    <w:p w14:paraId="0674E6A8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16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– ogłoszenie listy rankingowej kandydatów, ze wskazaniem osób spełniających kryteria przyjęcia do Szkoły Doktorskiej</w:t>
      </w:r>
    </w:p>
    <w:p w14:paraId="4DC16F2E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16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* Ogłoszenie listy przyjętych do Szkoły Doktorskiej</w:t>
      </w:r>
    </w:p>
    <w:p w14:paraId="10D321BD" w14:textId="77777777" w:rsidR="00445E3A" w:rsidRPr="00445E3A" w:rsidRDefault="00445E3A" w:rsidP="00445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2F20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Do </w:t>
      </w:r>
      <w:r w:rsidRPr="00445E3A">
        <w:rPr>
          <w:rFonts w:ascii="Arial" w:eastAsia="Times New Roman" w:hAnsi="Arial" w:cs="Arial"/>
          <w:b/>
          <w:bCs/>
          <w:color w:val="092F20"/>
          <w:sz w:val="23"/>
          <w:szCs w:val="23"/>
          <w:lang w:eastAsia="pl-PL"/>
        </w:rPr>
        <w:t>20 września</w:t>
      </w:r>
      <w:r w:rsidRPr="00445E3A">
        <w:rPr>
          <w:rFonts w:ascii="Arial" w:eastAsia="Times New Roman" w:hAnsi="Arial" w:cs="Arial"/>
          <w:color w:val="092F20"/>
          <w:sz w:val="23"/>
          <w:szCs w:val="23"/>
          <w:lang w:eastAsia="pl-PL"/>
        </w:rPr>
        <w:t> – przesłanie w systemie ZSUN/OSF informacji uzupełniającej dotyczącej danych doktorantów przyjętych do Szkoły Doktorskiej.</w:t>
      </w:r>
    </w:p>
    <w:p w14:paraId="0EC203F7" w14:textId="77777777" w:rsidR="00445E3A" w:rsidRPr="00445E3A" w:rsidRDefault="00445E3A" w:rsidP="00445E3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464545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464545"/>
          <w:sz w:val="23"/>
          <w:szCs w:val="23"/>
          <w:lang w:eastAsia="pl-PL"/>
        </w:rPr>
        <w:t> </w:t>
      </w:r>
    </w:p>
    <w:p w14:paraId="441EC5F7" w14:textId="77777777" w:rsidR="00445E3A" w:rsidRPr="00445E3A" w:rsidRDefault="00445E3A" w:rsidP="00445E3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464545"/>
          <w:sz w:val="23"/>
          <w:szCs w:val="23"/>
          <w:lang w:eastAsia="pl-PL"/>
        </w:rPr>
      </w:pPr>
      <w:r w:rsidRPr="00445E3A">
        <w:rPr>
          <w:rFonts w:ascii="Arial" w:eastAsia="Times New Roman" w:hAnsi="Arial" w:cs="Arial"/>
          <w:color w:val="464545"/>
          <w:sz w:val="23"/>
          <w:szCs w:val="23"/>
          <w:lang w:eastAsia="pl-PL"/>
        </w:rPr>
        <w:t>* – podane daty są datami orientacyjnymi uzależnionymi od trybu przyznawania grantów oraz komunikatów i decyzji Ministra Edukacji i Nauki.</w:t>
      </w:r>
    </w:p>
    <w:p w14:paraId="287F85B7" w14:textId="77777777" w:rsidR="008B6235" w:rsidRDefault="008B6235"/>
    <w:sectPr w:rsidR="008B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BEA"/>
    <w:multiLevelType w:val="multilevel"/>
    <w:tmpl w:val="9700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9"/>
    <w:rsid w:val="003819F9"/>
    <w:rsid w:val="00445E3A"/>
    <w:rsid w:val="008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3D50-1973-4351-B18B-582AE28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E3A"/>
    <w:rPr>
      <w:b/>
      <w:bCs/>
    </w:rPr>
  </w:style>
  <w:style w:type="character" w:styleId="Uwydatnienie">
    <w:name w:val="Emphasis"/>
    <w:basedOn w:val="Domylnaczcionkaakapitu"/>
    <w:uiPriority w:val="20"/>
    <w:qFormat/>
    <w:rsid w:val="00445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2022-06-01T12:44:00Z</dcterms:created>
  <dcterms:modified xsi:type="dcterms:W3CDTF">2022-06-01T12:44:00Z</dcterms:modified>
</cp:coreProperties>
</file>