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4E" w:rsidRPr="00DF6C5C" w:rsidRDefault="0083474E" w:rsidP="0083474E">
      <w:pPr>
        <w:jc w:val="right"/>
        <w:rPr>
          <w:rFonts w:asciiTheme="minorHAnsi" w:hAnsiTheme="minorHAnsi"/>
        </w:rPr>
      </w:pPr>
      <w:r w:rsidRPr="00DF6C5C">
        <w:rPr>
          <w:rFonts w:asciiTheme="minorHAnsi" w:hAnsiTheme="minorHAnsi"/>
        </w:rPr>
        <w:t xml:space="preserve">Załącznik nr 5 do </w:t>
      </w:r>
      <w:proofErr w:type="spellStart"/>
      <w:r w:rsidRPr="00DF6C5C">
        <w:rPr>
          <w:rFonts w:asciiTheme="minorHAnsi" w:hAnsiTheme="minorHAnsi"/>
        </w:rPr>
        <w:t>siwz</w:t>
      </w:r>
      <w:proofErr w:type="spellEnd"/>
    </w:p>
    <w:p w:rsidR="00CF31F2" w:rsidRPr="00DF6C5C" w:rsidRDefault="0083474E" w:rsidP="00CF31F2">
      <w:pPr>
        <w:jc w:val="center"/>
        <w:rPr>
          <w:rFonts w:asciiTheme="minorHAnsi" w:hAnsiTheme="minorHAnsi"/>
          <w:b/>
          <w:sz w:val="28"/>
          <w:szCs w:val="28"/>
        </w:rPr>
      </w:pPr>
      <w:r w:rsidRPr="00DF6C5C">
        <w:rPr>
          <w:rFonts w:asciiTheme="minorHAnsi" w:hAnsiTheme="minorHAnsi"/>
          <w:b/>
          <w:sz w:val="28"/>
          <w:szCs w:val="28"/>
        </w:rPr>
        <w:t>Opis przedmiotu zamówienia (dotyczy części 5</w:t>
      </w:r>
      <w:r w:rsidR="00CF31F2" w:rsidRPr="00DF6C5C">
        <w:rPr>
          <w:rFonts w:asciiTheme="minorHAnsi" w:hAnsiTheme="minorHAnsi"/>
          <w:b/>
          <w:sz w:val="28"/>
          <w:szCs w:val="28"/>
        </w:rPr>
        <w:t>)</w:t>
      </w:r>
    </w:p>
    <w:p w:rsidR="008C7968" w:rsidRDefault="008C7968" w:rsidP="00CF31F2">
      <w:pPr>
        <w:spacing w:after="200" w:line="276" w:lineRule="auto"/>
        <w:jc w:val="both"/>
        <w:rPr>
          <w:rFonts w:ascii="Calibri" w:hAnsi="Calibri" w:cs="Calibri"/>
          <w:b/>
          <w:sz w:val="24"/>
          <w:szCs w:val="24"/>
        </w:rPr>
      </w:pPr>
    </w:p>
    <w:p w:rsidR="00976FED" w:rsidRDefault="00CF31F2" w:rsidP="0070199B">
      <w:pPr>
        <w:pStyle w:val="Akapitzlist"/>
        <w:numPr>
          <w:ilvl w:val="0"/>
          <w:numId w:val="1"/>
        </w:numPr>
        <w:suppressAutoHyphens w:val="0"/>
        <w:spacing w:before="200" w:after="200" w:line="312" w:lineRule="auto"/>
        <w:ind w:left="714" w:hanging="357"/>
        <w:jc w:val="both"/>
        <w:rPr>
          <w:rFonts w:asciiTheme="minorHAnsi" w:hAnsiTheme="minorHAnsi" w:cstheme="minorHAnsi"/>
        </w:rPr>
      </w:pPr>
      <w:r w:rsidRPr="00976FED">
        <w:rPr>
          <w:rFonts w:asciiTheme="minorHAnsi" w:hAnsiTheme="minorHAnsi" w:cstheme="minorHAnsi"/>
        </w:rPr>
        <w:t xml:space="preserve">Przedmiotem </w:t>
      </w:r>
      <w:r w:rsidR="004B7AF9" w:rsidRPr="00976FED">
        <w:rPr>
          <w:rFonts w:asciiTheme="minorHAnsi" w:hAnsiTheme="minorHAnsi" w:cstheme="minorHAnsi"/>
        </w:rPr>
        <w:t>zamówienia</w:t>
      </w:r>
      <w:r w:rsidRPr="00976FED">
        <w:rPr>
          <w:rFonts w:asciiTheme="minorHAnsi" w:hAnsiTheme="minorHAnsi" w:cstheme="minorHAnsi"/>
        </w:rPr>
        <w:t xml:space="preserve"> jest dostawa </w:t>
      </w:r>
      <w:r w:rsidR="00976FED" w:rsidRPr="00976FED">
        <w:rPr>
          <w:rFonts w:asciiTheme="minorHAnsi" w:hAnsiTheme="minorHAnsi" w:cstheme="minorHAnsi"/>
        </w:rPr>
        <w:t xml:space="preserve">licencji oprogramowania antywirusowego </w:t>
      </w:r>
      <w:r w:rsidR="00976FED">
        <w:rPr>
          <w:rFonts w:asciiTheme="minorHAnsi" w:hAnsiTheme="minorHAnsi" w:cstheme="minorHAnsi"/>
        </w:rPr>
        <w:t>o parametrach technicznych zgodnych z tabelą nr 2,</w:t>
      </w:r>
    </w:p>
    <w:p w:rsidR="00976FED" w:rsidRDefault="004B7AF9" w:rsidP="0070199B">
      <w:pPr>
        <w:pStyle w:val="Akapitzlist"/>
        <w:numPr>
          <w:ilvl w:val="0"/>
          <w:numId w:val="1"/>
        </w:numPr>
        <w:suppressAutoHyphens w:val="0"/>
        <w:spacing w:before="200" w:after="200" w:line="312" w:lineRule="auto"/>
        <w:jc w:val="both"/>
        <w:rPr>
          <w:rFonts w:asciiTheme="minorHAnsi" w:hAnsiTheme="minorHAnsi" w:cstheme="minorHAnsi"/>
        </w:rPr>
      </w:pPr>
      <w:r w:rsidRPr="004B7AF9">
        <w:rPr>
          <w:rFonts w:asciiTheme="minorHAnsi" w:hAnsiTheme="minorHAnsi" w:cstheme="minorHAnsi"/>
        </w:rPr>
        <w:t xml:space="preserve">Zamawiający wymaga dostarczenia </w:t>
      </w:r>
      <w:r w:rsidR="00976FED">
        <w:rPr>
          <w:rFonts w:asciiTheme="minorHAnsi" w:hAnsiTheme="minorHAnsi" w:cstheme="minorHAnsi"/>
        </w:rPr>
        <w:t>520</w:t>
      </w:r>
      <w:r w:rsidR="00E4121B">
        <w:rPr>
          <w:rFonts w:asciiTheme="minorHAnsi" w:hAnsiTheme="minorHAnsi" w:cstheme="minorHAnsi"/>
        </w:rPr>
        <w:t xml:space="preserve"> szt.</w:t>
      </w:r>
      <w:r w:rsidRPr="004B7AF9">
        <w:rPr>
          <w:rFonts w:asciiTheme="minorHAnsi" w:hAnsiTheme="minorHAnsi" w:cstheme="minorHAnsi"/>
        </w:rPr>
        <w:t xml:space="preserve"> licencji</w:t>
      </w:r>
      <w:r w:rsidR="00976FED">
        <w:rPr>
          <w:rFonts w:asciiTheme="minorHAnsi" w:hAnsiTheme="minorHAnsi" w:cstheme="minorHAnsi"/>
        </w:rPr>
        <w:t xml:space="preserve"> oprogramowania antywirusowego</w:t>
      </w:r>
      <w:r>
        <w:rPr>
          <w:rFonts w:asciiTheme="minorHAnsi" w:hAnsiTheme="minorHAnsi" w:cstheme="minorHAnsi"/>
        </w:rPr>
        <w:t xml:space="preserve"> trzyletnim wsparciem</w:t>
      </w:r>
      <w:r w:rsidR="00976FED">
        <w:rPr>
          <w:rFonts w:asciiTheme="minorHAnsi" w:hAnsiTheme="minorHAnsi" w:cstheme="minorHAnsi"/>
        </w:rPr>
        <w:t xml:space="preserve"> </w:t>
      </w:r>
      <w:proofErr w:type="spellStart"/>
      <w:r w:rsidR="00976FED">
        <w:rPr>
          <w:rFonts w:asciiTheme="minorHAnsi" w:hAnsiTheme="minorHAnsi" w:cstheme="minorHAnsi"/>
        </w:rPr>
        <w:t>t.j</w:t>
      </w:r>
      <w:proofErr w:type="spellEnd"/>
      <w:r w:rsidR="00976FED">
        <w:rPr>
          <w:rFonts w:asciiTheme="minorHAnsi" w:hAnsiTheme="minorHAnsi" w:cstheme="minorHAnsi"/>
        </w:rPr>
        <w:t xml:space="preserve">. </w:t>
      </w:r>
      <w:r w:rsidR="00976FED" w:rsidRPr="00976FED">
        <w:rPr>
          <w:rFonts w:asciiTheme="minorHAnsi" w:hAnsiTheme="minorHAnsi" w:cstheme="minorHAnsi"/>
        </w:rPr>
        <w:t>możliwością pobierania aktualizacji sygnatur, nowych wersji oprogramowania p</w:t>
      </w:r>
      <w:r w:rsidR="0070199B">
        <w:rPr>
          <w:rFonts w:asciiTheme="minorHAnsi" w:hAnsiTheme="minorHAnsi" w:cstheme="minorHAnsi"/>
        </w:rPr>
        <w:t xml:space="preserve">rzez cały okres licencjonowania i </w:t>
      </w:r>
      <w:r w:rsidR="00976FED">
        <w:rPr>
          <w:rFonts w:asciiTheme="minorHAnsi" w:hAnsiTheme="minorHAnsi" w:cstheme="minorHAnsi"/>
        </w:rPr>
        <w:t>zapewnienia pomocy technicznej</w:t>
      </w:r>
    </w:p>
    <w:p w:rsidR="00976FED" w:rsidRPr="004B7AF9" w:rsidRDefault="00976FED" w:rsidP="0070199B">
      <w:pPr>
        <w:pStyle w:val="Akapitzlist"/>
        <w:numPr>
          <w:ilvl w:val="0"/>
          <w:numId w:val="1"/>
        </w:numPr>
        <w:suppressAutoHyphens w:val="0"/>
        <w:spacing w:before="200" w:after="200" w:line="312" w:lineRule="auto"/>
        <w:ind w:left="714" w:hanging="357"/>
        <w:jc w:val="both"/>
        <w:rPr>
          <w:rFonts w:asciiTheme="minorHAnsi" w:hAnsiTheme="minorHAnsi" w:cstheme="minorHAnsi"/>
        </w:rPr>
      </w:pPr>
      <w:r w:rsidRPr="00F100FA">
        <w:rPr>
          <w:rFonts w:asciiTheme="minorHAnsi" w:hAnsiTheme="minorHAnsi" w:cstheme="minorHAnsi"/>
        </w:rPr>
        <w:t xml:space="preserve">Zamawiający wymaga dołączenia </w:t>
      </w:r>
      <w:r>
        <w:rPr>
          <w:rFonts w:asciiTheme="minorHAnsi" w:hAnsiTheme="minorHAnsi" w:cstheme="minorHAnsi"/>
        </w:rPr>
        <w:t xml:space="preserve">po 1 sztuce </w:t>
      </w:r>
      <w:r w:rsidRPr="00F100FA">
        <w:rPr>
          <w:rFonts w:asciiTheme="minorHAnsi" w:hAnsiTheme="minorHAnsi" w:cstheme="minorHAnsi"/>
        </w:rPr>
        <w:t>nośnika z oprogramowaniem antywirusowym oraz certyfikat</w:t>
      </w:r>
      <w:r>
        <w:rPr>
          <w:rFonts w:asciiTheme="minorHAnsi" w:hAnsiTheme="minorHAnsi" w:cstheme="minorHAnsi"/>
        </w:rPr>
        <w:t>em</w:t>
      </w:r>
      <w:r w:rsidRPr="00F100FA">
        <w:rPr>
          <w:rFonts w:asciiTheme="minorHAnsi" w:hAnsiTheme="minorHAnsi" w:cstheme="minorHAnsi"/>
        </w:rPr>
        <w:t xml:space="preserve"> autentyczności wraz z nazwą Licencjobiorcy</w:t>
      </w:r>
      <w:r>
        <w:rPr>
          <w:rFonts w:asciiTheme="minorHAnsi" w:hAnsiTheme="minorHAnsi" w:cstheme="minorHAnsi"/>
        </w:rPr>
        <w:t xml:space="preserve"> i numerem licencji a także po 1 sztuce podręcznika użytkownika (podręcznik może być w formacie elektronicznym)</w:t>
      </w:r>
    </w:p>
    <w:p w:rsidR="00CF31F2" w:rsidRDefault="00CF31F2" w:rsidP="00CF31F2">
      <w:pPr>
        <w:suppressAutoHyphens w:val="0"/>
        <w:jc w:val="both"/>
      </w:pPr>
    </w:p>
    <w:p w:rsidR="00CF31F2" w:rsidRDefault="00CF31F2" w:rsidP="00CF31F2">
      <w:pPr>
        <w:suppressAutoHyphens w:val="0"/>
        <w:jc w:val="both"/>
      </w:pPr>
    </w:p>
    <w:p w:rsidR="00E4121B" w:rsidRDefault="00E4121B" w:rsidP="00E4121B">
      <w:pPr>
        <w:suppressAutoHyphens w:val="0"/>
        <w:spacing w:after="200" w:line="276" w:lineRule="auto"/>
      </w:pPr>
    </w:p>
    <w:p w:rsidR="001C06B5" w:rsidRDefault="001C06B5" w:rsidP="00E4121B">
      <w:pPr>
        <w:suppressAutoHyphens w:val="0"/>
        <w:spacing w:after="200" w:line="276" w:lineRule="auto"/>
        <w:sectPr w:rsidR="001C06B5" w:rsidSect="001C06B5">
          <w:pgSz w:w="11906" w:h="16838"/>
          <w:pgMar w:top="1418" w:right="1418" w:bottom="1418" w:left="1418" w:header="709" w:footer="709" w:gutter="0"/>
          <w:cols w:space="708"/>
          <w:docGrid w:linePitch="360"/>
        </w:sectPr>
      </w:pPr>
    </w:p>
    <w:p w:rsidR="001C06B5" w:rsidRPr="0083474E" w:rsidRDefault="0083474E" w:rsidP="0083474E">
      <w:pPr>
        <w:suppressAutoHyphens w:val="0"/>
        <w:spacing w:after="200" w:line="276" w:lineRule="auto"/>
        <w:jc w:val="right"/>
        <w:rPr>
          <w:rFonts w:asciiTheme="minorHAnsi" w:hAnsiTheme="minorHAnsi"/>
        </w:rPr>
      </w:pPr>
      <w:r w:rsidRPr="0083474E">
        <w:rPr>
          <w:rFonts w:asciiTheme="minorHAnsi" w:hAnsiTheme="minorHAnsi"/>
        </w:rPr>
        <w:lastRenderedPageBreak/>
        <w:t xml:space="preserve">Załącznik nr 5A do </w:t>
      </w:r>
      <w:proofErr w:type="spellStart"/>
      <w:r w:rsidRPr="0083474E">
        <w:rPr>
          <w:rFonts w:asciiTheme="minorHAnsi" w:hAnsiTheme="minorHAnsi"/>
        </w:rPr>
        <w:t>siwz</w:t>
      </w:r>
      <w:proofErr w:type="spellEnd"/>
    </w:p>
    <w:p w:rsidR="0083474E" w:rsidRPr="0083474E" w:rsidRDefault="0083474E" w:rsidP="00DF6C5C">
      <w:pPr>
        <w:suppressAutoHyphens w:val="0"/>
        <w:spacing w:after="200" w:line="276" w:lineRule="auto"/>
        <w:jc w:val="center"/>
        <w:rPr>
          <w:rFonts w:asciiTheme="minorHAnsi" w:hAnsiTheme="minorHAnsi"/>
          <w:b/>
          <w:sz w:val="28"/>
          <w:szCs w:val="28"/>
        </w:rPr>
      </w:pPr>
      <w:r w:rsidRPr="0083474E">
        <w:rPr>
          <w:rFonts w:asciiTheme="minorHAnsi" w:hAnsiTheme="minorHAnsi"/>
          <w:b/>
          <w:sz w:val="28"/>
          <w:szCs w:val="28"/>
        </w:rPr>
        <w:t>Opis techniczny asortymentu (dotyczy części 5)</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7"/>
        <w:gridCol w:w="6908"/>
      </w:tblGrid>
      <w:tr w:rsidR="00C467C7" w:rsidRPr="00BD6730" w:rsidTr="00C467C7">
        <w:trPr>
          <w:trHeight w:val="567"/>
          <w:jc w:val="center"/>
        </w:trPr>
        <w:tc>
          <w:tcPr>
            <w:tcW w:w="14175" w:type="dxa"/>
            <w:gridSpan w:val="2"/>
            <w:shd w:val="clear" w:color="auto" w:fill="000000"/>
            <w:vAlign w:val="center"/>
          </w:tcPr>
          <w:p w:rsidR="00C467C7" w:rsidRPr="00BD6730" w:rsidRDefault="00CF43AB" w:rsidP="00DB15B8">
            <w:pPr>
              <w:rPr>
                <w:rFonts w:ascii="Calibri" w:hAnsi="Calibri" w:cs="Calibri"/>
                <w:b/>
                <w:sz w:val="32"/>
                <w:szCs w:val="32"/>
              </w:rPr>
            </w:pPr>
            <w:r>
              <w:rPr>
                <w:rFonts w:ascii="Calibri" w:hAnsi="Calibri" w:cs="Calibri"/>
                <w:b/>
                <w:bCs/>
                <w:sz w:val="28"/>
                <w:szCs w:val="28"/>
              </w:rPr>
              <w:t xml:space="preserve">Tabela 2. – </w:t>
            </w:r>
            <w:r w:rsidRPr="001C06B5">
              <w:rPr>
                <w:rFonts w:asciiTheme="minorHAnsi" w:hAnsiTheme="minorHAnsi" w:cs="Calibri"/>
                <w:b/>
                <w:bCs/>
                <w:sz w:val="28"/>
              </w:rPr>
              <w:t>Minimalne parametry techniczne wymagane przez Zamawiającego w zakresie zaoferowanego oprogramowania antywirusowego</w:t>
            </w:r>
            <w:r w:rsidRPr="006958EC">
              <w:rPr>
                <w:rFonts w:ascii="Calibri" w:hAnsi="Calibri" w:cs="Calibri"/>
                <w:b/>
                <w:bCs/>
                <w:sz w:val="28"/>
                <w:szCs w:val="28"/>
              </w:rPr>
              <w:t xml:space="preserve"> w części </w:t>
            </w:r>
            <w:r>
              <w:rPr>
                <w:rFonts w:ascii="Calibri" w:hAnsi="Calibri" w:cs="Calibri"/>
                <w:b/>
                <w:bCs/>
                <w:sz w:val="28"/>
                <w:szCs w:val="28"/>
              </w:rPr>
              <w:t>2</w:t>
            </w:r>
          </w:p>
        </w:tc>
      </w:tr>
      <w:tr w:rsidR="00C467C7" w:rsidRPr="001C06B5" w:rsidTr="00C467C7">
        <w:trPr>
          <w:trHeight w:val="794"/>
          <w:jc w:val="center"/>
        </w:trPr>
        <w:tc>
          <w:tcPr>
            <w:tcW w:w="7267" w:type="dxa"/>
            <w:vMerge w:val="restart"/>
            <w:vAlign w:val="center"/>
          </w:tcPr>
          <w:p w:rsidR="00C467C7" w:rsidRPr="001C06B5" w:rsidRDefault="001C06B5" w:rsidP="001C06B5">
            <w:pPr>
              <w:jc w:val="center"/>
              <w:rPr>
                <w:rFonts w:asciiTheme="minorHAnsi" w:hAnsiTheme="minorHAnsi" w:cs="Calibri"/>
                <w:b/>
                <w:bCs/>
                <w:sz w:val="24"/>
              </w:rPr>
            </w:pPr>
            <w:r w:rsidRPr="001C06B5">
              <w:rPr>
                <w:rFonts w:asciiTheme="minorHAnsi" w:hAnsiTheme="minorHAnsi" w:cs="Calibri"/>
                <w:b/>
                <w:bCs/>
                <w:sz w:val="28"/>
              </w:rPr>
              <w:t>Minimalne parametry techniczne wymagane przez Zamawiającego w zakresie zaoferowanego oprogramowania antywirusowego</w:t>
            </w:r>
          </w:p>
        </w:tc>
        <w:tc>
          <w:tcPr>
            <w:tcW w:w="6908" w:type="dxa"/>
            <w:vAlign w:val="center"/>
          </w:tcPr>
          <w:p w:rsidR="00C467C7" w:rsidRPr="001C06B5" w:rsidRDefault="00C467C7" w:rsidP="00C467C7">
            <w:pPr>
              <w:rPr>
                <w:rFonts w:asciiTheme="minorHAnsi" w:hAnsiTheme="minorHAnsi" w:cs="Calibri"/>
                <w:b/>
                <w:bCs/>
                <w:sz w:val="24"/>
              </w:rPr>
            </w:pPr>
            <w:r w:rsidRPr="001C06B5">
              <w:rPr>
                <w:rFonts w:asciiTheme="minorHAnsi" w:hAnsiTheme="minorHAnsi" w:cs="Calibri"/>
                <w:b/>
                <w:bCs/>
                <w:sz w:val="24"/>
              </w:rPr>
              <w:t>PRODUCENT:</w:t>
            </w:r>
          </w:p>
          <w:p w:rsidR="00C467C7" w:rsidRPr="001C06B5" w:rsidRDefault="00C467C7" w:rsidP="00C467C7">
            <w:pPr>
              <w:rPr>
                <w:rFonts w:asciiTheme="minorHAnsi" w:hAnsiTheme="minorHAnsi" w:cs="Calibri"/>
                <w:b/>
                <w:bCs/>
                <w:sz w:val="24"/>
              </w:rPr>
            </w:pPr>
          </w:p>
          <w:p w:rsidR="00C467C7" w:rsidRPr="001C06B5" w:rsidRDefault="00C467C7" w:rsidP="00C467C7">
            <w:pPr>
              <w:rPr>
                <w:rFonts w:asciiTheme="minorHAnsi" w:hAnsiTheme="minorHAnsi" w:cs="Calibri"/>
                <w:b/>
                <w:bCs/>
                <w:sz w:val="24"/>
              </w:rPr>
            </w:pPr>
            <w:r w:rsidRPr="001C06B5">
              <w:rPr>
                <w:rFonts w:asciiTheme="minorHAnsi" w:hAnsiTheme="minorHAnsi" w:cs="Calibri"/>
                <w:b/>
                <w:bCs/>
                <w:sz w:val="24"/>
              </w:rPr>
              <w:t>Nazwa i wersja oprogramowania:</w:t>
            </w:r>
          </w:p>
        </w:tc>
      </w:tr>
      <w:tr w:rsidR="00C467C7" w:rsidRPr="00295D12" w:rsidTr="00C467C7">
        <w:trPr>
          <w:trHeight w:val="794"/>
          <w:jc w:val="center"/>
        </w:trPr>
        <w:tc>
          <w:tcPr>
            <w:tcW w:w="7267" w:type="dxa"/>
            <w:vMerge/>
            <w:vAlign w:val="center"/>
          </w:tcPr>
          <w:p w:rsidR="00C467C7" w:rsidRPr="001C06B5" w:rsidRDefault="00C467C7" w:rsidP="00DB15B8">
            <w:pPr>
              <w:rPr>
                <w:rFonts w:asciiTheme="minorHAnsi" w:hAnsiTheme="minorHAnsi" w:cs="Calibri"/>
                <w:b/>
                <w:bCs/>
              </w:rPr>
            </w:pPr>
          </w:p>
        </w:tc>
        <w:tc>
          <w:tcPr>
            <w:tcW w:w="6908" w:type="dxa"/>
            <w:vAlign w:val="center"/>
          </w:tcPr>
          <w:p w:rsidR="00C467C7" w:rsidRPr="001C06B5" w:rsidRDefault="00C467C7" w:rsidP="001C06B5">
            <w:pPr>
              <w:jc w:val="center"/>
              <w:rPr>
                <w:rFonts w:asciiTheme="minorHAnsi" w:hAnsiTheme="minorHAnsi" w:cs="Calibri"/>
                <w:b/>
                <w:bCs/>
              </w:rPr>
            </w:pPr>
            <w:r w:rsidRPr="001C06B5">
              <w:rPr>
                <w:rFonts w:asciiTheme="minorHAnsi" w:hAnsiTheme="minorHAnsi" w:cs="Calibri"/>
                <w:b/>
                <w:bCs/>
                <w:sz w:val="24"/>
              </w:rPr>
              <w:t>Opis parametrów oprogramowania równoważnego zaoferowanego przez Wykonawcę w ramach prowadzonego postępowania (tak/nie)</w:t>
            </w:r>
          </w:p>
        </w:tc>
      </w:tr>
      <w:tr w:rsidR="00C467C7" w:rsidRPr="001C06B5" w:rsidTr="00DB15B8">
        <w:trPr>
          <w:jc w:val="center"/>
        </w:trPr>
        <w:tc>
          <w:tcPr>
            <w:tcW w:w="7267" w:type="dxa"/>
          </w:tcPr>
          <w:p w:rsidR="00C467C7" w:rsidRPr="001C06B5" w:rsidRDefault="001C06B5" w:rsidP="001C06B5">
            <w:pPr>
              <w:widowControl w:val="0"/>
              <w:snapToGrid w:val="0"/>
              <w:spacing w:before="120" w:after="240"/>
              <w:jc w:val="center"/>
              <w:rPr>
                <w:rFonts w:asciiTheme="minorHAnsi" w:hAnsiTheme="minorHAnsi" w:cstheme="minorHAnsi"/>
                <w:b/>
                <w:sz w:val="24"/>
              </w:rPr>
            </w:pPr>
            <w:r w:rsidRPr="001C06B5">
              <w:rPr>
                <w:rFonts w:asciiTheme="minorHAnsi" w:hAnsiTheme="minorHAnsi" w:cstheme="minorHAnsi"/>
                <w:b/>
                <w:sz w:val="24"/>
              </w:rPr>
              <w:t>Wymagania ogólne</w:t>
            </w:r>
          </w:p>
        </w:tc>
        <w:tc>
          <w:tcPr>
            <w:tcW w:w="6908" w:type="dxa"/>
          </w:tcPr>
          <w:p w:rsidR="00C467C7" w:rsidRPr="001C06B5" w:rsidRDefault="00C467C7" w:rsidP="001C06B5">
            <w:pPr>
              <w:spacing w:after="240"/>
              <w:jc w:val="center"/>
              <w:rPr>
                <w:rFonts w:asciiTheme="minorHAnsi" w:hAnsiTheme="minorHAnsi" w:cstheme="minorHAnsi"/>
                <w:b/>
                <w:sz w:val="24"/>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Pełne wsparcie dla systemu Windows 2000/XP/Vista/Windows 7.</w:t>
            </w:r>
          </w:p>
        </w:tc>
        <w:tc>
          <w:tcPr>
            <w:tcW w:w="6908" w:type="dxa"/>
          </w:tcPr>
          <w:p w:rsidR="001C06B5" w:rsidRPr="00394D88" w:rsidRDefault="001C06B5" w:rsidP="001C06B5">
            <w:pPr>
              <w:jc w:val="both"/>
              <w:rPr>
                <w:rFonts w:asciiTheme="minorHAnsi" w:hAnsiTheme="minorHAnsi" w:cstheme="minorHAnsi"/>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Wsparcie dla Windows Security Center (Windows XP SP2).</w:t>
            </w:r>
          </w:p>
        </w:tc>
        <w:tc>
          <w:tcPr>
            <w:tcW w:w="6908" w:type="dxa"/>
          </w:tcPr>
          <w:p w:rsidR="001C06B5" w:rsidRPr="00394D88" w:rsidRDefault="001C06B5" w:rsidP="001C06B5">
            <w:pPr>
              <w:jc w:val="both"/>
              <w:rPr>
                <w:rFonts w:asciiTheme="minorHAnsi" w:hAnsiTheme="minorHAnsi" w:cstheme="minorHAnsi"/>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Wsparcie dla 32- i 64-bitowej wersji systemu Windows.</w:t>
            </w:r>
          </w:p>
        </w:tc>
        <w:tc>
          <w:tcPr>
            <w:tcW w:w="6908" w:type="dxa"/>
          </w:tcPr>
          <w:p w:rsidR="001C06B5" w:rsidRPr="00394D88" w:rsidRDefault="001C06B5" w:rsidP="001C06B5">
            <w:pPr>
              <w:jc w:val="both"/>
              <w:rPr>
                <w:rFonts w:asciiTheme="minorHAnsi" w:hAnsiTheme="minorHAnsi" w:cstheme="minorHAnsi"/>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Wersja programu dla stacji roboczych Windows dostępna zarówno w języku polskim jak i angielskim.</w:t>
            </w:r>
          </w:p>
        </w:tc>
        <w:tc>
          <w:tcPr>
            <w:tcW w:w="6908" w:type="dxa"/>
          </w:tcPr>
          <w:p w:rsidR="001C06B5" w:rsidRPr="00394D88" w:rsidRDefault="001C06B5" w:rsidP="001C06B5">
            <w:pPr>
              <w:jc w:val="both"/>
              <w:rPr>
                <w:rFonts w:asciiTheme="minorHAnsi" w:hAnsiTheme="minorHAnsi" w:cstheme="minorHAnsi"/>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Pomoc w programie (</w:t>
            </w:r>
            <w:proofErr w:type="spellStart"/>
            <w:r w:rsidRPr="001C06B5">
              <w:rPr>
                <w:rFonts w:asciiTheme="minorHAnsi" w:hAnsiTheme="minorHAnsi"/>
                <w:sz w:val="18"/>
                <w:szCs w:val="18"/>
              </w:rPr>
              <w:t>help</w:t>
            </w:r>
            <w:proofErr w:type="spellEnd"/>
            <w:r w:rsidRPr="001C06B5">
              <w:rPr>
                <w:rFonts w:asciiTheme="minorHAnsi" w:hAnsiTheme="minorHAnsi"/>
                <w:sz w:val="18"/>
                <w:szCs w:val="18"/>
              </w:rPr>
              <w:t>) i dokumentacja do programu w języku polskim.</w:t>
            </w:r>
          </w:p>
        </w:tc>
        <w:tc>
          <w:tcPr>
            <w:tcW w:w="6908" w:type="dxa"/>
          </w:tcPr>
          <w:p w:rsidR="001C06B5" w:rsidRPr="00394D88" w:rsidRDefault="001C06B5" w:rsidP="001C06B5">
            <w:pPr>
              <w:jc w:val="both"/>
              <w:rPr>
                <w:rFonts w:asciiTheme="minorHAnsi" w:hAnsiTheme="minorHAnsi" w:cstheme="minorHAnsi"/>
              </w:rPr>
            </w:pPr>
          </w:p>
        </w:tc>
      </w:tr>
      <w:tr w:rsidR="001C06B5" w:rsidRPr="00394D88" w:rsidTr="00DB15B8">
        <w:trPr>
          <w:jc w:val="center"/>
        </w:trPr>
        <w:tc>
          <w:tcPr>
            <w:tcW w:w="7267" w:type="dxa"/>
          </w:tcPr>
          <w:p w:rsidR="001C06B5" w:rsidRPr="001C06B5" w:rsidRDefault="001C06B5" w:rsidP="0070199B">
            <w:pPr>
              <w:pStyle w:val="Akapitzlist"/>
              <w:numPr>
                <w:ilvl w:val="0"/>
                <w:numId w:val="2"/>
              </w:numPr>
              <w:rPr>
                <w:rFonts w:asciiTheme="minorHAnsi" w:hAnsiTheme="minorHAnsi"/>
                <w:sz w:val="18"/>
                <w:szCs w:val="18"/>
              </w:rPr>
            </w:pPr>
            <w:r w:rsidRPr="001C06B5">
              <w:rPr>
                <w:rFonts w:asciiTheme="minorHAnsi" w:hAnsiTheme="minorHAnsi"/>
                <w:sz w:val="18"/>
                <w:szCs w:val="18"/>
              </w:rPr>
              <w:t xml:space="preserve">Skuteczność programu potwierdzona nagrodami VB100 i co najmniej dwie inne niezależne organizacje takie jak ICSA </w:t>
            </w:r>
            <w:proofErr w:type="spellStart"/>
            <w:r w:rsidRPr="001C06B5">
              <w:rPr>
                <w:rFonts w:asciiTheme="minorHAnsi" w:hAnsiTheme="minorHAnsi"/>
                <w:sz w:val="18"/>
                <w:szCs w:val="18"/>
              </w:rPr>
              <w:t>labs</w:t>
            </w:r>
            <w:proofErr w:type="spellEnd"/>
            <w:r w:rsidRPr="001C06B5">
              <w:rPr>
                <w:rFonts w:asciiTheme="minorHAnsi" w:hAnsiTheme="minorHAnsi"/>
                <w:sz w:val="18"/>
                <w:szCs w:val="18"/>
              </w:rPr>
              <w:t xml:space="preserve"> lub </w:t>
            </w:r>
            <w:proofErr w:type="spellStart"/>
            <w:r w:rsidRPr="001C06B5">
              <w:rPr>
                <w:rFonts w:asciiTheme="minorHAnsi" w:hAnsiTheme="minorHAnsi"/>
                <w:sz w:val="18"/>
                <w:szCs w:val="18"/>
              </w:rPr>
              <w:t>Check</w:t>
            </w:r>
            <w:proofErr w:type="spellEnd"/>
            <w:r w:rsidRPr="001C06B5">
              <w:rPr>
                <w:rFonts w:asciiTheme="minorHAnsi" w:hAnsiTheme="minorHAnsi"/>
                <w:sz w:val="18"/>
                <w:szCs w:val="18"/>
              </w:rPr>
              <w:t xml:space="preserve"> Mark.</w:t>
            </w:r>
          </w:p>
        </w:tc>
        <w:tc>
          <w:tcPr>
            <w:tcW w:w="6908" w:type="dxa"/>
          </w:tcPr>
          <w:p w:rsidR="001C06B5" w:rsidRPr="00394D88" w:rsidRDefault="001C06B5" w:rsidP="001C06B5">
            <w:pPr>
              <w:jc w:val="both"/>
              <w:rPr>
                <w:rFonts w:asciiTheme="minorHAnsi" w:hAnsiTheme="minorHAnsi" w:cstheme="minorHAnsi"/>
              </w:rPr>
            </w:pPr>
          </w:p>
        </w:tc>
      </w:tr>
      <w:tr w:rsidR="00C467C7" w:rsidRPr="00394D88" w:rsidTr="00DB15B8">
        <w:trPr>
          <w:jc w:val="center"/>
        </w:trPr>
        <w:tc>
          <w:tcPr>
            <w:tcW w:w="7267" w:type="dxa"/>
          </w:tcPr>
          <w:p w:rsidR="00C467C7" w:rsidRPr="00394D88" w:rsidRDefault="001C06B5" w:rsidP="001C06B5">
            <w:pPr>
              <w:widowControl w:val="0"/>
              <w:snapToGrid w:val="0"/>
              <w:spacing w:before="120" w:after="240"/>
              <w:jc w:val="center"/>
              <w:rPr>
                <w:rFonts w:asciiTheme="minorHAnsi" w:hAnsiTheme="minorHAnsi" w:cstheme="minorHAnsi"/>
              </w:rPr>
            </w:pPr>
            <w:r w:rsidRPr="001C06B5">
              <w:rPr>
                <w:rFonts w:asciiTheme="minorHAnsi" w:hAnsiTheme="minorHAnsi" w:cstheme="minorHAnsi"/>
                <w:b/>
                <w:sz w:val="24"/>
              </w:rPr>
              <w:t xml:space="preserve">Ochrona antywirusowa i </w:t>
            </w:r>
            <w:proofErr w:type="spellStart"/>
            <w:r w:rsidRPr="001C06B5">
              <w:rPr>
                <w:rFonts w:asciiTheme="minorHAnsi" w:hAnsiTheme="minorHAnsi" w:cstheme="minorHAnsi"/>
                <w:b/>
                <w:sz w:val="24"/>
              </w:rPr>
              <w:t>antyspyware</w:t>
            </w:r>
            <w:proofErr w:type="spellEnd"/>
          </w:p>
        </w:tc>
        <w:tc>
          <w:tcPr>
            <w:tcW w:w="6908" w:type="dxa"/>
          </w:tcPr>
          <w:p w:rsidR="00C467C7" w:rsidRPr="00394D88" w:rsidRDefault="00C467C7" w:rsidP="00DB15B8">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Pełna ochrona przed wirusami, trojanami, robakami i innymi zagrożeniami.</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Wykrywanie i usuwanie niebezpiecznych aplikacji typu </w:t>
            </w:r>
            <w:proofErr w:type="spellStart"/>
            <w:r w:rsidRPr="00945479">
              <w:rPr>
                <w:rFonts w:asciiTheme="minorHAnsi" w:hAnsiTheme="minorHAnsi"/>
                <w:sz w:val="18"/>
                <w:szCs w:val="18"/>
              </w:rPr>
              <w:t>adware</w:t>
            </w:r>
            <w:proofErr w:type="spellEnd"/>
            <w:r w:rsidRPr="00945479">
              <w:rPr>
                <w:rFonts w:asciiTheme="minorHAnsi" w:hAnsiTheme="minorHAnsi"/>
                <w:sz w:val="18"/>
                <w:szCs w:val="18"/>
              </w:rPr>
              <w:t xml:space="preserve">, spyware, dialer, </w:t>
            </w:r>
            <w:proofErr w:type="spellStart"/>
            <w:r w:rsidRPr="00945479">
              <w:rPr>
                <w:rFonts w:asciiTheme="minorHAnsi" w:hAnsiTheme="minorHAnsi"/>
                <w:sz w:val="18"/>
                <w:szCs w:val="18"/>
              </w:rPr>
              <w:t>phishing</w:t>
            </w:r>
            <w:proofErr w:type="spellEnd"/>
            <w:r w:rsidRPr="00945479">
              <w:rPr>
                <w:rFonts w:asciiTheme="minorHAnsi" w:hAnsiTheme="minorHAnsi"/>
                <w:sz w:val="18"/>
                <w:szCs w:val="18"/>
              </w:rPr>
              <w:t xml:space="preserve">, narzędzi </w:t>
            </w:r>
            <w:proofErr w:type="spellStart"/>
            <w:r w:rsidRPr="00945479">
              <w:rPr>
                <w:rFonts w:asciiTheme="minorHAnsi" w:hAnsiTheme="minorHAnsi"/>
                <w:sz w:val="18"/>
                <w:szCs w:val="18"/>
              </w:rPr>
              <w:t>hakerskich</w:t>
            </w:r>
            <w:proofErr w:type="spellEnd"/>
            <w:r w:rsidRPr="00945479">
              <w:rPr>
                <w:rFonts w:asciiTheme="minorHAnsi" w:hAnsiTheme="minorHAnsi"/>
                <w:sz w:val="18"/>
                <w:szCs w:val="18"/>
              </w:rPr>
              <w:t xml:space="preserve">, </w:t>
            </w:r>
            <w:proofErr w:type="spellStart"/>
            <w:r w:rsidRPr="00945479">
              <w:rPr>
                <w:rFonts w:asciiTheme="minorHAnsi" w:hAnsiTheme="minorHAnsi"/>
                <w:sz w:val="18"/>
                <w:szCs w:val="18"/>
              </w:rPr>
              <w:t>backdoor</w:t>
            </w:r>
            <w:proofErr w:type="spellEnd"/>
            <w:r w:rsidRPr="00945479">
              <w:rPr>
                <w:rFonts w:asciiTheme="minorHAnsi" w:hAnsiTheme="minorHAnsi"/>
                <w:sz w:val="18"/>
                <w:szCs w:val="18"/>
              </w:rPr>
              <w:t>, itp.</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Wbudowana technologia do ochrony przed </w:t>
            </w:r>
            <w:proofErr w:type="spellStart"/>
            <w:r w:rsidRPr="00945479">
              <w:rPr>
                <w:rFonts w:asciiTheme="minorHAnsi" w:hAnsiTheme="minorHAnsi"/>
                <w:sz w:val="18"/>
                <w:szCs w:val="18"/>
              </w:rPr>
              <w:t>rootkitami</w:t>
            </w:r>
            <w:proofErr w:type="spellEnd"/>
            <w:r w:rsidRPr="00945479">
              <w:rPr>
                <w:rFonts w:asciiTheme="minorHAnsi" w:hAnsiTheme="minorHAnsi"/>
                <w:sz w:val="18"/>
                <w:szCs w:val="18"/>
              </w:rPr>
              <w:t>.</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Skanowanie w czasie rzeczywistym otwieranych, zapisywanych i wykonywanych plików.</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skanowania całego dysku, wybranych katalogów lub pojedynczych plików "na żądanie" lub według harmonogramu.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System ma oferować administratorowi możliwość definiowania zadań w harmonogramie w taki sposób, aby zadanie przed wykonaniem sprawdzało czy </w:t>
            </w:r>
            <w:r w:rsidRPr="00945479">
              <w:rPr>
                <w:rFonts w:asciiTheme="minorHAnsi" w:hAnsiTheme="minorHAnsi"/>
                <w:sz w:val="18"/>
                <w:szCs w:val="18"/>
              </w:rPr>
              <w:lastRenderedPageBreak/>
              <w:t>komputer pracuje na zasilaniu bateryjnym i jeśli tak – nie wykonywało danego zadania.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lastRenderedPageBreak/>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Skanowanie "na żądanie" pojedynczych plików lub katalogów przy pomocy skrótu w menu kontekstowym.</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określania poziomu obciążenia procesora (CPU) podczas skanowania „na żądanie” i według harmonogramu.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CA6E2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skanowania dysków sieciowych i dysków przenośnych.</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Skanowanie plików spakowanych i skompresowanych.</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definiowania listy rozszerzeń plików, które mają być skanowane (w tym z uwzględnieniem plików bez rozszerzeń).</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Możliwość umieszczenia na liście </w:t>
            </w:r>
            <w:proofErr w:type="spellStart"/>
            <w:r w:rsidRPr="00945479">
              <w:rPr>
                <w:rFonts w:asciiTheme="minorHAnsi" w:hAnsiTheme="minorHAnsi"/>
                <w:sz w:val="18"/>
                <w:szCs w:val="18"/>
              </w:rPr>
              <w:t>wyłączeń</w:t>
            </w:r>
            <w:proofErr w:type="spellEnd"/>
            <w:r w:rsidRPr="00945479">
              <w:rPr>
                <w:rFonts w:asciiTheme="minorHAnsi" w:hAnsiTheme="minorHAnsi"/>
                <w:sz w:val="18"/>
                <w:szCs w:val="18"/>
              </w:rPr>
              <w:t xml:space="preserve"> ze skanowania wybranych plików, katalogów lub plików o określonych rozszerzeniach.</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automatycznego wyłączenia komputera po zakończonym skanowaniu.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Brak konieczności ponownego uruchomienia (restartu) komputera po instalacji programu. </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Użytkownik musi posiadać możliwość tymczasowego wyłączenia ochrony na czas co najmniej 10 min lub do ponownego uruchomienia komputera.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W momencie tymczasowego wyłączenia ochrony antywirusowej użytkownik musi być poinformowany o takim fakcie odpowiednim powiadomieniem i informacją w interfejsie aplikacji.</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Ponowne włączenie ochrony antywirusowej nie może wymagać od użytkownika ponownego uruchomienia komputera.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przeniesienia zainfekowanych plików i załączników poczty w bezpieczny obszar dysku (do katalogu kwarantanny) w celu dalszej kontroli. Pliki muszą być przechowywane w katalogu kwarantanny w postaci zaszyfrowanej.</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Wbudowany konektor dla programów MS Outlook, Outlook Express, Windows Mail, Mozilla </w:t>
            </w:r>
            <w:proofErr w:type="spellStart"/>
            <w:r w:rsidRPr="00945479">
              <w:rPr>
                <w:rFonts w:asciiTheme="minorHAnsi" w:hAnsiTheme="minorHAnsi"/>
                <w:sz w:val="18"/>
                <w:szCs w:val="18"/>
              </w:rPr>
              <w:t>Thunderbird</w:t>
            </w:r>
            <w:proofErr w:type="spellEnd"/>
            <w:r w:rsidRPr="00945479">
              <w:rPr>
                <w:rFonts w:asciiTheme="minorHAnsi" w:hAnsiTheme="minorHAnsi"/>
                <w:sz w:val="18"/>
                <w:szCs w:val="18"/>
              </w:rPr>
              <w:t xml:space="preserve"> do wersji 5.x i Windows Live Mail (funkcje programu dostępne są bezpośrednio z menu programu pocztowego).</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Skanowanie i oczyszczanie w czasie rzeczywistym poczty przychodzącej i wychodzącej obsługiwanej przy pomocy programu MS Outlook, Outlook Express, Windows Mail, Mozilla </w:t>
            </w:r>
            <w:proofErr w:type="spellStart"/>
            <w:r w:rsidRPr="00945479">
              <w:rPr>
                <w:rFonts w:asciiTheme="minorHAnsi" w:hAnsiTheme="minorHAnsi"/>
                <w:sz w:val="18"/>
                <w:szCs w:val="18"/>
              </w:rPr>
              <w:t>Thunderbird</w:t>
            </w:r>
            <w:proofErr w:type="spellEnd"/>
            <w:r w:rsidRPr="00945479">
              <w:rPr>
                <w:rFonts w:asciiTheme="minorHAnsi" w:hAnsiTheme="minorHAnsi"/>
                <w:sz w:val="18"/>
                <w:szCs w:val="18"/>
              </w:rPr>
              <w:t xml:space="preserve"> do wersji 5.x i Windows Live Mail.</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Automatyczna integracja skanera POP3 i IMAP z dowolnym klientem pocztowym bez konieczności zmian w konfiguracji.</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lastRenderedPageBreak/>
              <w:t>Możliwość definiowania różnych portów dla POP3 i IMAP, na których ma odbywać się skanowanie.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opcjonalnego dołączenia informacji o przeskanowaniu do każdej odbieranej wiadomości e-mail lub tylko do zainfekowanych wiadomości e-mail.</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Skanowanie ruchu HTTP na poziomie stacji roboczych. Zainfekowany ruch jest automatycznie blokowany a użytkownikowi wyświetlane jest stosowne powiadomienie.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zdefiniowania blokady wszystkich stron internetowych z wyjątkiem listy stron ustalonej przez administratora.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Automatyczna integracja z dowolną przeglądarką internetową bez konieczności zmian w konfiguracji. </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definiowania różnych portów dla HTTP, na których ma odbywać się skanowanie.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Program ma umożliwiać skanowanie ruchu sieciowego wewnątrz szyfrowanych protokołów HTTPS, POP3S, IMAPS.</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Program ma zapewniać skanowanie ruchu HTTPS transparentnie bez potrzeby konfiguracji zewnętrznych aplikacji takich jak przeglądarki Web lub programy pocztowe.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Administrator ma mieć możliwość zdefiniowania portów TCP, na których aplikacja będzie realizowała proces skanowania ruchu szyfrowanego.</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Aplikacja musi posiadać funkcjonalność która na bieżąco będzie odpytywać serwery producenta o znane i bezpieczne procesy uruchomione na komputerze użytkownika.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Procesy zweryfikowane jako bezpieczne mają być pomijane podczas procesu skanowania na żądanie oraz przez moduły ochrony w czasie rzeczywistym.</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Użytkownik musi posiadać możliwość przesłania pliku celem zweryfikowania jego reputacji bezpośrednio z poziomu menu kontekstowego. </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W przypadku gdy stacja robocza nie będzie posiadała dostępu do sieci Internet ma odbywać się skanowanie wszystkich procesów również tych, które wcześniej zostały uznane za bezpieczne.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Możliwość automatycznego wysyłania nowych zagrożeń (wykrytych przez metody heurystyczne) do laboratoriów producenta bezpośrednio z programu (nie wymaga ingerencji użytkownika). Użytkownik musi mieć możliwość określenia rozszerzeń dla </w:t>
            </w:r>
            <w:r w:rsidRPr="00945479">
              <w:rPr>
                <w:rFonts w:asciiTheme="minorHAnsi" w:hAnsiTheme="minorHAnsi"/>
                <w:sz w:val="18"/>
                <w:szCs w:val="18"/>
              </w:rPr>
              <w:lastRenderedPageBreak/>
              <w:t>plików, które nie będą wysyłane automatycznie, oraz czy próbki zagrożeń mają być wysyłane w pełni automatycznie czy też po dodatkowym potwierdzeniu przez użytkownika.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lastRenderedPageBreak/>
              <w:t>Do wysłania próbki zagrożenia do laboratorium producenta aplikacja nie może wykorzystywać klienta pocztowego wykorzystywanego na komputerze użytkownika.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Możliwość wysyłania wraz z próbką komentarza dotyczącego nowego zagrożenia i adresu e-mail użytkownika, na który producent może wysłać dodatkowe pytania dotyczące zgłaszanego zagrożenia. </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Dane statystyczne zbierane przez producenta na podstawie otrzymanych próbek nowych zagrożeń mają być w pełni anonimowe.</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ręcznego wysłania próbki nowego zagrożenia z katalogu kwarantanny do laboratorium producenta.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Interfejs programu ma oferować funkcję pracy w trybie bez grafiki gdzie cały interfejs wyświetlany jest w formie formatek i tekstu.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Interfejs programu ma mieć możliwość automatycznego aktywowania trybu bez grafiki w momencie, gdy użytkownik przełączy system Windows w tryb wysokiego kontrastu.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zabezpieczenia konfiguracji programu hasłem, w taki sposób, aby użytkownik siedzący przy komputerze przy próbie dostępu do konfiguracji był proszony o podanie hasła.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Możliwość zabezpieczenia programu przed deinstalacją przez niepowołaną osobę, nawet, gdy posiada ona prawa lokalnego lub domenowego administratora. Przy próbie deinstalacji program musi pytać o hasło.</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Hasło do zabezpieczenia konfiguracji programu oraz jego nieautoryzowanej próby, deinstalacji musi być takie samo.</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Program ma mieć możliwość kontroli zainstalowanych aktualizacji systemu operacyjnego i w przypadku braku jakiejś aktualizacji – poinformować o tym użytkownika wraz z listą niezainstalowanych aktualizacji.</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Po instalacji programu, użytkownik ma mieć możliwość przygotowania płyty CD, DVD lub pamięci USB, z której będzie w stanie uruchomić komputer w przypadku infekcji i przeskanować dysk w poszukiwaniu wirusów.</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System antywirusowy uruchomiony z płyty </w:t>
            </w:r>
            <w:proofErr w:type="spellStart"/>
            <w:r w:rsidRPr="00945479">
              <w:rPr>
                <w:rFonts w:asciiTheme="minorHAnsi" w:hAnsiTheme="minorHAnsi"/>
                <w:sz w:val="18"/>
                <w:szCs w:val="18"/>
              </w:rPr>
              <w:t>bootowalnej</w:t>
            </w:r>
            <w:proofErr w:type="spellEnd"/>
            <w:r w:rsidRPr="00945479">
              <w:rPr>
                <w:rFonts w:asciiTheme="minorHAnsi" w:hAnsiTheme="minorHAnsi"/>
                <w:sz w:val="18"/>
                <w:szCs w:val="18"/>
              </w:rPr>
              <w:t xml:space="preserve"> lub pamięci USB ma umożliwiać pełną aktualizację baz sygnatur wirusów z Internetu lub z bazy zapisanej na dysku.</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System antywirusowy uruchomiony z płyty </w:t>
            </w:r>
            <w:proofErr w:type="spellStart"/>
            <w:r w:rsidRPr="00945479">
              <w:rPr>
                <w:rFonts w:asciiTheme="minorHAnsi" w:hAnsiTheme="minorHAnsi"/>
                <w:sz w:val="18"/>
                <w:szCs w:val="18"/>
              </w:rPr>
              <w:t>bootowalnej</w:t>
            </w:r>
            <w:proofErr w:type="spellEnd"/>
            <w:r w:rsidRPr="00945479">
              <w:rPr>
                <w:rFonts w:asciiTheme="minorHAnsi" w:hAnsiTheme="minorHAnsi"/>
                <w:sz w:val="18"/>
                <w:szCs w:val="18"/>
              </w:rPr>
              <w:t xml:space="preserve"> lub pamięci USB ma pracować w trybie graficznym.</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 xml:space="preserve">Program ma umożliwiać administratorowi blokowanie zewnętrznych nośników danych </w:t>
            </w:r>
            <w:r w:rsidRPr="00945479">
              <w:rPr>
                <w:rFonts w:asciiTheme="minorHAnsi" w:hAnsiTheme="minorHAnsi"/>
                <w:sz w:val="18"/>
                <w:szCs w:val="18"/>
              </w:rPr>
              <w:lastRenderedPageBreak/>
              <w:t>na stacji w tym przynajmniej: stacji dyskietek, napędów CD/DVD, czytników kart, urządzeń Bluetooth, portów LPT/COM.</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lastRenderedPageBreak/>
              <w:t>Funkcja blokowania nośników wymiennych ma umożliwiać użytkownikowi tworzenie reguł dla podłączanych urządzeń minimum w oparciu o typ urządzenia, numer seryjny urządzenia, dostawcę urządzenia, model.</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Aplikacja ma umożliwiać użytkownikowi nadanie uprawnień dla podłączanych urządzeń w tym co najmniej: dostęp w trybie do odczytu, pełen dostęp, brak dostępu do podłączanego urządzenia.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Aplikacja ma posiadać funkcjonalność umożliwiającą zastosowanie reguł dla podłączanych urządzeń w zależności od zalogowanego użytkownika.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W momencie podłączenia zewnętrznego nośnika aplikacja musi wyświetlić użytkownikowi odpowiedni komunikat i umożliwić natychmiastowe przeskanowanie całej zawartości podłączanego nośnika.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Użytkownik ma posiadać możliwość takiej konfiguracji aplikacji aby skanowanie całego nośnika odbywało się automatycznie lub za potwierdzeniem przez użytkownika</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945479" w:rsidRDefault="00945479" w:rsidP="0070199B">
            <w:pPr>
              <w:pStyle w:val="Akapitzlist"/>
              <w:numPr>
                <w:ilvl w:val="0"/>
                <w:numId w:val="3"/>
              </w:numPr>
              <w:rPr>
                <w:rFonts w:asciiTheme="minorHAnsi" w:hAnsiTheme="minorHAnsi"/>
                <w:sz w:val="18"/>
                <w:szCs w:val="18"/>
              </w:rPr>
            </w:pPr>
            <w:r w:rsidRPr="00945479">
              <w:rPr>
                <w:rFonts w:asciiTheme="minorHAnsi" w:hAnsiTheme="minorHAnsi"/>
                <w:sz w:val="18"/>
                <w:szCs w:val="18"/>
              </w:rPr>
              <w:t>Program musi być wyposażony w system zapobiegania włamaniom działający na hoście (HIPS).</w:t>
            </w:r>
          </w:p>
        </w:tc>
        <w:tc>
          <w:tcPr>
            <w:tcW w:w="6908" w:type="dxa"/>
          </w:tcPr>
          <w:p w:rsidR="00945479" w:rsidRPr="00394D88" w:rsidRDefault="00945479" w:rsidP="00945479">
            <w:pPr>
              <w:jc w:val="both"/>
              <w:rPr>
                <w:rFonts w:asciiTheme="minorHAnsi" w:hAnsiTheme="minorHAnsi" w:cstheme="minorHAnsi"/>
              </w:rPr>
            </w:pPr>
          </w:p>
        </w:tc>
      </w:tr>
      <w:tr w:rsidR="00945479" w:rsidRPr="00394D88" w:rsidTr="00DB15B8">
        <w:trPr>
          <w:jc w:val="center"/>
        </w:trPr>
        <w:tc>
          <w:tcPr>
            <w:tcW w:w="7267" w:type="dxa"/>
          </w:tcPr>
          <w:p w:rsidR="00945479" w:rsidRPr="000C6F3C" w:rsidRDefault="00945479" w:rsidP="0070199B">
            <w:pPr>
              <w:pStyle w:val="Akapitzlist"/>
              <w:numPr>
                <w:ilvl w:val="0"/>
                <w:numId w:val="3"/>
              </w:numPr>
              <w:rPr>
                <w:rFonts w:ascii="Tahoma" w:hAnsi="Tahoma" w:cs="Tahoma"/>
                <w:sz w:val="22"/>
                <w:szCs w:val="22"/>
              </w:rPr>
            </w:pPr>
            <w:r w:rsidRPr="00945479">
              <w:rPr>
                <w:rFonts w:asciiTheme="minorHAnsi" w:hAnsiTheme="minorHAnsi"/>
                <w:sz w:val="18"/>
                <w:szCs w:val="18"/>
              </w:rPr>
              <w:t>Moduł HIPS musi posiadać możliwość pracy w jednym z czterech trybów:</w:t>
            </w:r>
          </w:p>
          <w:p w:rsidR="00945479" w:rsidRPr="00945479" w:rsidRDefault="00945479" w:rsidP="0070199B">
            <w:pPr>
              <w:numPr>
                <w:ilvl w:val="1"/>
                <w:numId w:val="4"/>
              </w:numPr>
              <w:suppressAutoHyphens w:val="0"/>
              <w:autoSpaceDE w:val="0"/>
              <w:autoSpaceDN w:val="0"/>
              <w:adjustRightInd w:val="0"/>
              <w:jc w:val="both"/>
              <w:rPr>
                <w:rFonts w:asciiTheme="minorHAnsi" w:hAnsiTheme="minorHAnsi" w:cs="Tahoma"/>
                <w:sz w:val="18"/>
                <w:szCs w:val="18"/>
              </w:rPr>
            </w:pPr>
            <w:r w:rsidRPr="00945479">
              <w:rPr>
                <w:rFonts w:asciiTheme="minorHAnsi" w:hAnsiTheme="minorHAnsi" w:cs="Tahoma"/>
                <w:sz w:val="18"/>
                <w:szCs w:val="18"/>
              </w:rPr>
              <w:t>tryb automatyczny z regułami gdzie aplikacja automatycznie tworzy i wykorzystuje reguły wraz z możliwością wykorzystania reguł utworzonych przez użytkownika,</w:t>
            </w:r>
          </w:p>
          <w:p w:rsidR="00945479" w:rsidRPr="00945479" w:rsidRDefault="00945479" w:rsidP="0070199B">
            <w:pPr>
              <w:numPr>
                <w:ilvl w:val="1"/>
                <w:numId w:val="4"/>
              </w:numPr>
              <w:suppressAutoHyphens w:val="0"/>
              <w:autoSpaceDE w:val="0"/>
              <w:autoSpaceDN w:val="0"/>
              <w:adjustRightInd w:val="0"/>
              <w:jc w:val="both"/>
              <w:rPr>
                <w:rFonts w:asciiTheme="minorHAnsi" w:hAnsiTheme="minorHAnsi" w:cs="Tahoma"/>
                <w:sz w:val="18"/>
                <w:szCs w:val="18"/>
              </w:rPr>
            </w:pPr>
            <w:r w:rsidRPr="00945479">
              <w:rPr>
                <w:rFonts w:asciiTheme="minorHAnsi" w:hAnsiTheme="minorHAnsi" w:cs="Tahoma"/>
                <w:sz w:val="18"/>
                <w:szCs w:val="18"/>
              </w:rPr>
              <w:t>tryb interaktywny, w którym to aplikacja pyta użytkownika o akcję w przypadku wykrycia aktywności w systemie,</w:t>
            </w:r>
          </w:p>
          <w:p w:rsidR="00945479" w:rsidRPr="00945479" w:rsidRDefault="00945479" w:rsidP="0070199B">
            <w:pPr>
              <w:numPr>
                <w:ilvl w:val="1"/>
                <w:numId w:val="4"/>
              </w:numPr>
              <w:suppressAutoHyphens w:val="0"/>
              <w:autoSpaceDE w:val="0"/>
              <w:autoSpaceDN w:val="0"/>
              <w:adjustRightInd w:val="0"/>
              <w:jc w:val="both"/>
              <w:rPr>
                <w:rFonts w:asciiTheme="minorHAnsi" w:hAnsiTheme="minorHAnsi" w:cs="Tahoma"/>
                <w:sz w:val="18"/>
                <w:szCs w:val="18"/>
              </w:rPr>
            </w:pPr>
            <w:r w:rsidRPr="00945479">
              <w:rPr>
                <w:rFonts w:asciiTheme="minorHAnsi" w:hAnsiTheme="minorHAnsi" w:cs="Tahoma"/>
                <w:sz w:val="18"/>
                <w:szCs w:val="18"/>
              </w:rPr>
              <w:t>tryb oparty na regułach gdzie zastosowanie mają jedynie reguły utworzone przez użytkownika,</w:t>
            </w:r>
          </w:p>
          <w:p w:rsidR="00945479" w:rsidRPr="00945479" w:rsidRDefault="00945479" w:rsidP="0070199B">
            <w:pPr>
              <w:numPr>
                <w:ilvl w:val="1"/>
                <w:numId w:val="4"/>
              </w:numPr>
              <w:suppressAutoHyphens w:val="0"/>
              <w:autoSpaceDE w:val="0"/>
              <w:autoSpaceDN w:val="0"/>
              <w:adjustRightInd w:val="0"/>
              <w:jc w:val="both"/>
              <w:rPr>
                <w:rFonts w:asciiTheme="minorHAnsi" w:hAnsiTheme="minorHAnsi"/>
                <w:sz w:val="18"/>
                <w:szCs w:val="18"/>
              </w:rPr>
            </w:pPr>
            <w:r w:rsidRPr="00945479">
              <w:rPr>
                <w:rFonts w:asciiTheme="minorHAnsi" w:hAnsiTheme="minorHAnsi" w:cs="Tahoma"/>
                <w:sz w:val="18"/>
                <w:szCs w:val="18"/>
              </w:rPr>
              <w:t>tryb uczenia się, w którym aplikacja uczy się aktywności systemu i użytkownika oraz tworzy odpowiednie reguły w czasie określonym przez użytkownika. Po wygaśnięciu tego czasu aplikacja musi samoczynnie przełączyć się w tryb pracy oparty na regułach.</w:t>
            </w:r>
          </w:p>
        </w:tc>
        <w:tc>
          <w:tcPr>
            <w:tcW w:w="6908" w:type="dxa"/>
          </w:tcPr>
          <w:p w:rsidR="00945479" w:rsidRPr="00394D88" w:rsidRDefault="00945479" w:rsidP="00945479">
            <w:pPr>
              <w:jc w:val="both"/>
              <w:rPr>
                <w:rFonts w:asciiTheme="minorHAnsi" w:hAnsiTheme="minorHAnsi" w:cstheme="minorHAnsi"/>
              </w:rPr>
            </w:pPr>
          </w:p>
        </w:tc>
      </w:tr>
      <w:tr w:rsidR="000C6F3C" w:rsidRPr="00394D88" w:rsidTr="00DB15B8">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Tworzenie reguł dla modułu HIPS musi odbywać się co najmniej w oparciu o: aplikacje źródłowe, pliki docelowe, aplikacje docelowe, elementy docelowe rejestru systemowego.</w:t>
            </w:r>
          </w:p>
        </w:tc>
        <w:tc>
          <w:tcPr>
            <w:tcW w:w="6908" w:type="dxa"/>
          </w:tcPr>
          <w:p w:rsidR="000C6F3C" w:rsidRPr="00394D88" w:rsidRDefault="000C6F3C" w:rsidP="000C6F3C">
            <w:pPr>
              <w:jc w:val="both"/>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Użytkownik na etapie tworzenia reguł dla modułu HIPS musi posiadać możliwość wybrania jednej z trzech akcji: pytaj, blokuj, zezwól.</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 xml:space="preserve">Funkcja generująca taki log ma oferować przynajmniej 9 poziomów filtrowania wyników pod kątem tego, które z nich są podejrzane dla programu i mogą stanowić dla </w:t>
            </w:r>
            <w:r w:rsidRPr="000C6F3C">
              <w:rPr>
                <w:rFonts w:asciiTheme="minorHAnsi" w:hAnsiTheme="minorHAnsi"/>
                <w:sz w:val="18"/>
                <w:szCs w:val="18"/>
              </w:rPr>
              <w:lastRenderedPageBreak/>
              <w:t>niego zagrożenie bezpieczeństwa.</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lastRenderedPageBreak/>
              <w:t xml:space="preserve">Program ma oferować funkcję, która aktywnie monitoruje i skutecznie blokuje działania wszystkich plików programu, jego procesów, usług i wpisów w rejestrze przed próbą ich modyfikacji przez aplikacje trzecie. </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Automatyczna, inkrementacyjna aktualizacja baz wirusów i innych zagrożeń dostępna z Internetu.</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Możliwość utworzenia kilku zadań aktualizacji (np.: co godzinę, po zalogowaniu, po uruchomieniu komputera). Każde zadanie może być uruchomione z własnymi ustawieniami.</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Aplikacja musi posiadać funkcjonalność tworzenia lokalnego repozytorium aktualizacji.</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Aplikacja musi posiadać funkcjonalność udostępniania tworzonego repozytorium aktualizacji za pomocą wbudowanego w program serwera http</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Aplikacja musi być wyposażona w funkcjonalność umożliwiającą tworzenie kopii wcześniejszych aktualizacji w celu ich późniejszego przywrócenia (</w:t>
            </w:r>
            <w:proofErr w:type="spellStart"/>
            <w:r w:rsidRPr="000C6F3C">
              <w:rPr>
                <w:rFonts w:asciiTheme="minorHAnsi" w:hAnsiTheme="minorHAnsi"/>
                <w:sz w:val="18"/>
                <w:szCs w:val="18"/>
              </w:rPr>
              <w:t>rollback</w:t>
            </w:r>
            <w:proofErr w:type="spellEnd"/>
            <w:r w:rsidRPr="000C6F3C">
              <w:rPr>
                <w:rFonts w:asciiTheme="minorHAnsi" w:hAnsiTheme="minorHAnsi"/>
                <w:sz w:val="18"/>
                <w:szCs w:val="18"/>
              </w:rPr>
              <w:t>).</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 xml:space="preserve">Program wyposażony tylko w jeden skaner uruchamiany w pamięci, z którego korzystają wszystkie funkcje systemu (antywirus, </w:t>
            </w:r>
            <w:proofErr w:type="spellStart"/>
            <w:r w:rsidRPr="000C6F3C">
              <w:rPr>
                <w:rFonts w:asciiTheme="minorHAnsi" w:hAnsiTheme="minorHAnsi"/>
                <w:sz w:val="18"/>
                <w:szCs w:val="18"/>
              </w:rPr>
              <w:t>antyspyware</w:t>
            </w:r>
            <w:proofErr w:type="spellEnd"/>
            <w:r w:rsidRPr="000C6F3C">
              <w:rPr>
                <w:rFonts w:asciiTheme="minorHAnsi" w:hAnsiTheme="minorHAnsi"/>
                <w:sz w:val="18"/>
                <w:szCs w:val="18"/>
              </w:rPr>
              <w:t>, metody heurystyczne, zapora sieciowa).</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 xml:space="preserve">Aplikacja musi być w pełni zgodna z technologią Network Access </w:t>
            </w:r>
            <w:proofErr w:type="spellStart"/>
            <w:r w:rsidRPr="000C6F3C">
              <w:rPr>
                <w:rFonts w:asciiTheme="minorHAnsi" w:hAnsiTheme="minorHAnsi"/>
                <w:sz w:val="18"/>
                <w:szCs w:val="18"/>
              </w:rPr>
              <w:t>Protection</w:t>
            </w:r>
            <w:proofErr w:type="spellEnd"/>
            <w:r w:rsidRPr="000C6F3C">
              <w:rPr>
                <w:rFonts w:asciiTheme="minorHAnsi" w:hAnsiTheme="minorHAnsi"/>
                <w:sz w:val="18"/>
                <w:szCs w:val="18"/>
              </w:rPr>
              <w:t xml:space="preserve"> (NAP).</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Program ma być w pełni zgodny z technologią CISCO Network Access Control (NAC).</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Aplikacja musi posiadać funkcjonalność, która automatycznie wykrywa aplikacje pracujące w trybie pełno ekranowym.</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W momencie wykrycia trybu pełno ekranowego aplikacja ma wstrzymać wyświetlanie wszelkich powiadomień związanych ze swoją pracą oraz wstrzymać swoje zadania znajdujące się w harmonogramie zadań aplikacji.</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Użytkownik ma mieć możliwość skonfigurowania programu tak aby automatycznie aplikacja włączała powiadomienia oraz zadania pomimo pracy w trybie pełnoekranowym po określonym przez użytkownika czasie.</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Program ma być wyposażony w dziennik zdarzeń rejestrujący informacje na temat znalezionych zagrożeń, kontroli urządzeń, skanowania na żądanie i według harmonogramu, dokonanych aktualizacji baz wirusów i samego oprogramowania.</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0C6F3C" w:rsidRDefault="000C6F3C" w:rsidP="0070199B">
            <w:pPr>
              <w:pStyle w:val="Akapitzlist"/>
              <w:numPr>
                <w:ilvl w:val="0"/>
                <w:numId w:val="3"/>
              </w:numPr>
              <w:rPr>
                <w:rFonts w:asciiTheme="minorHAnsi" w:hAnsiTheme="minorHAnsi"/>
                <w:sz w:val="18"/>
                <w:szCs w:val="18"/>
              </w:rPr>
            </w:pPr>
            <w:r w:rsidRPr="000C6F3C">
              <w:rPr>
                <w:rFonts w:asciiTheme="minorHAnsi" w:hAnsiTheme="minorHAnsi"/>
                <w:sz w:val="18"/>
                <w:szCs w:val="18"/>
              </w:rPr>
              <w:t>Wsparcie techniczne do programu świadczone w języku polskim przez polskiego dystrybutora autoryzowanego przez producenta programu.</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0C6F3C" w:rsidRPr="00394D88" w:rsidTr="009F3B3A">
        <w:trPr>
          <w:jc w:val="center"/>
        </w:trPr>
        <w:tc>
          <w:tcPr>
            <w:tcW w:w="7267" w:type="dxa"/>
          </w:tcPr>
          <w:p w:rsidR="000C6F3C" w:rsidRPr="00BF09EE" w:rsidRDefault="0075152A" w:rsidP="0075152A">
            <w:pPr>
              <w:widowControl w:val="0"/>
              <w:snapToGrid w:val="0"/>
              <w:spacing w:before="120" w:after="240"/>
              <w:jc w:val="center"/>
              <w:rPr>
                <w:rFonts w:ascii="Tahoma" w:hAnsi="Tahoma" w:cs="Tahoma"/>
              </w:rPr>
            </w:pPr>
            <w:r w:rsidRPr="0075152A">
              <w:rPr>
                <w:rFonts w:asciiTheme="minorHAnsi" w:hAnsiTheme="minorHAnsi" w:cstheme="minorHAnsi"/>
                <w:b/>
                <w:sz w:val="24"/>
              </w:rPr>
              <w:t>Konsola administracyjna</w:t>
            </w:r>
          </w:p>
        </w:tc>
        <w:tc>
          <w:tcPr>
            <w:tcW w:w="6908" w:type="dxa"/>
          </w:tcPr>
          <w:p w:rsidR="000C6F3C" w:rsidRPr="00394D88" w:rsidRDefault="000C6F3C" w:rsidP="000C6F3C">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Centralna instalacja programów służących do ochrony stacji roboczych Windows.</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Centralne zarządzanie programami służącymi do ochrony stacji roboczych Windows/ </w:t>
            </w:r>
            <w:r w:rsidRPr="0075152A">
              <w:rPr>
                <w:rFonts w:asciiTheme="minorHAnsi" w:hAnsiTheme="minorHAnsi"/>
                <w:sz w:val="18"/>
                <w:szCs w:val="18"/>
              </w:rPr>
              <w:lastRenderedPageBreak/>
              <w:t>Linux/ MAC OS.</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lastRenderedPageBreak/>
              <w:t>Centralna instalacja oprogramowania na końcówkach (stacjach roboczych) z systemami operacyjnymi typu 2000/XP Professional/Vista/Windows7.</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Do instalacji centralnej i zarządzania centralnego nie jest wymagany dodatkowy agent. Na końcówkach zainstalowany jest sam program antywirusowy</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Komunikacja miedzy serwerem a klientami może być zabezpieczona hasłem.</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Centralna konfiguracja i zarządzanie ochroną antywirusową, </w:t>
            </w:r>
            <w:proofErr w:type="spellStart"/>
            <w:r w:rsidRPr="0075152A">
              <w:rPr>
                <w:rFonts w:asciiTheme="minorHAnsi" w:hAnsiTheme="minorHAnsi"/>
                <w:sz w:val="18"/>
                <w:szCs w:val="18"/>
              </w:rPr>
              <w:t>antyspyware’ową</w:t>
            </w:r>
            <w:proofErr w:type="spellEnd"/>
            <w:r w:rsidRPr="0075152A">
              <w:rPr>
                <w:rFonts w:asciiTheme="minorHAnsi" w:hAnsiTheme="minorHAnsi"/>
                <w:sz w:val="18"/>
                <w:szCs w:val="18"/>
              </w:rPr>
              <w:t>, zaporą osobistą i kontrolą dostępu do stron internetowych zainstalowanymi na stacjach roboczych w sieci.</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Kreator konfiguracji zapory osobistej stacji klienckich pracujących w sieci, umożliwiający podgląd i utworzenie globalnych reguł w oparciu o reguły odczytane ze wszystkich lub z wybranych komputerów lub ich grup.</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uruchomienia centralnego skanowania wybranych stacji roboczych z opcją wygenerowania raportu ze skanowania i przesłania do konsoli zarządzającej.</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sprawdzenia z centralnej konsoli zarządzającej stanu ochrony stacji roboczej (aktualnych ustawień programu, wersji programu i bazy wirusów, wyników skanowania skanera na żądanie i skanerów rezydentnych).</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sprawdzenia z centralnej konsoli zarządzającej podstawowych informacji dotyczących stacji roboczej: adresów IP, adresów MAC, wersji systemu operacyjnego oraz domeny, do której dana stacja robocza należy.</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centralnej aktualizacji stacji roboczych z serwera w sieci lokalnej lub Internetu.</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skanowania sieci z centralnego serwera zarządzającego w poszukiwaniu niezabezpieczonych stacji roboczych.</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tworzenia grup stacji roboczych i definiowania w ramach grupy wspólnych ustawień konfiguracyjnymi dla zarządzanych programów.</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Możliwość importowania konfiguracji programu z wybranej stacji roboczej a następnie przesłanie (skopiowanie) jej na inną stację lub grupę stacji roboczych w sieci. </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zmiany konfiguracji na stacjach z centralnej konsoli zarządzającej lub lokalnie (lokalnie tylko, jeżeli ustawienia programu nie są zabezpieczone hasłem lub użytkownik/administrator zna hasło zabezpieczające ustawienia konfiguracyjne).</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uruchomienia serwera centralnej administracji i konsoli zarządzającej na stacjach Windows 2000/XP/Vista/Windows 7 oraz na serwerach 2000/2003/2008/2008R2 – 32 i 64-bitowe systemy.</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rozdzielenia serwera centralnej administracji od konsoli zarządzającej, w taki sposób, że serwer centralnej administracji jest instalowany na jednym serwerze/ stacji a konsola zarządzająca na tym samym serwerze i na stacjach roboczych należących do administratorów.</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Możliwość wymuszenia konieczności uwierzytelniania stacji roboczych przed </w:t>
            </w:r>
            <w:r w:rsidRPr="0075152A">
              <w:rPr>
                <w:rFonts w:asciiTheme="minorHAnsi" w:hAnsiTheme="minorHAnsi"/>
                <w:sz w:val="18"/>
                <w:szCs w:val="18"/>
              </w:rPr>
              <w:lastRenderedPageBreak/>
              <w:t>połączeniem się z serwerem zarządzającym. Uwierzytelnianie przy pomocy zdefiniowanego na serwerze hasła.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lastRenderedPageBreak/>
              <w:t>Do instalacji serwera centralnej administracji nie jest wymagane zainstalowanie  żadnych dodatkowych baz typu MSDE lub MS SQL. Serwer centralnej administracji musi mieć własną wbudowaną bazę w pełni kompatybilną z formatem bazy danych programu Microsoft Access.</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Serwer centralnej administracji ma oferować administratorowi możliwość współpracy przynajmniej z trzema zewnętrznymi motorami baz danych w tym minimum z: Microsoft SQL Server, </w:t>
            </w:r>
            <w:proofErr w:type="spellStart"/>
            <w:r w:rsidRPr="0075152A">
              <w:rPr>
                <w:rFonts w:asciiTheme="minorHAnsi" w:hAnsiTheme="minorHAnsi"/>
                <w:sz w:val="18"/>
                <w:szCs w:val="18"/>
              </w:rPr>
              <w:t>MySQL</w:t>
            </w:r>
            <w:proofErr w:type="spellEnd"/>
            <w:r w:rsidRPr="0075152A">
              <w:rPr>
                <w:rFonts w:asciiTheme="minorHAnsi" w:hAnsiTheme="minorHAnsi"/>
                <w:sz w:val="18"/>
                <w:szCs w:val="18"/>
              </w:rPr>
              <w:t xml:space="preserve"> Server oraz </w:t>
            </w:r>
            <w:proofErr w:type="spellStart"/>
            <w:r w:rsidRPr="0075152A">
              <w:rPr>
                <w:rFonts w:asciiTheme="minorHAnsi" w:hAnsiTheme="minorHAnsi"/>
                <w:sz w:val="18"/>
                <w:szCs w:val="18"/>
              </w:rPr>
              <w:t>Oracle</w:t>
            </w:r>
            <w:proofErr w:type="spellEnd"/>
            <w:r w:rsidRPr="0075152A">
              <w:rPr>
                <w:rFonts w:asciiTheme="minorHAnsi" w:hAnsiTheme="minorHAnsi"/>
                <w:sz w:val="18"/>
                <w:szCs w:val="18"/>
              </w:rPr>
              <w:t>.</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Do instalacji serwera centralnej administracji nie jest wymagane zainstalowanie dodatkowych aplikacji takich jak Internet Information Service (IIS) czy Apache.</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ręcznego (na żądanie) i automatycznego generowania raportów (według ustalonego harmonogramu) w formacie HTML lub CSV.</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Aplikacja musi posiadać funkcjonalność, która umożliwi przesłanie wygenerowanych raportów na wskazany adres email.</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Do wysłania raportów aplikacja nie może wykorzystywać klienta pocztowego zainstalowanego na stacji gdzie jest uruchomiona usługa serwera.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Serwer centralnej administracji ma oferować funkcjonalność synchronizacji grup komputerów z drzewem Active Directory. Po synchronizacji automatycznie są umieszczane komputery należące do zadanych grup w AD do odpowiadających im grup w programie. Funkcjonalność ta nie może wymagać instalacji serwera centralnej administracji na komputerze pełniącym funkcję kontrolera domeny.</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Serwer centralnej administracji ma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ma otrzymać odpowiednią konfigurację.</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Serwer centralnej administracji ma być wyposażony w mechanizm informowania administratora o wykryciu nieprawidłowości w funkcjonowaniu oprogramowania zainstalowanego na klientach w tym przynajmniej informowaniu o: wygaśnięciu licencji na oprogramowanie, o tym że zdefiniowany procent z pośród wszystkich stacji podłączonych do serwera ma nieaktywną ochronę, oraz że niektórzy z klientów podłączonych do serwera oczekują na ponowne uruchomienie po aktualizacji do nowej wersji oprogramowania.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Serwer centralnej administracji ma być wyposażony w wygodny mechanizm zarządzania licencjami, który umożliwi sumowanie liczby licencji nabytych przez </w:t>
            </w:r>
            <w:r w:rsidRPr="0075152A">
              <w:rPr>
                <w:rFonts w:asciiTheme="minorHAnsi" w:hAnsiTheme="minorHAnsi"/>
                <w:sz w:val="18"/>
                <w:szCs w:val="18"/>
              </w:rPr>
              <w:lastRenderedPageBreak/>
              <w:t>użytkownika. Dodatkowo serwer ma informować o tym, ilu stanowiskową licencję posiada użytkownik i stale nadzorować ile licencji spośród puli nie zostało jeszcze wykorzystanych.</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lastRenderedPageBreak/>
              <w:t>W sytuacji, gdy użytkownik wykorzysta wszystkie licencje, które posiada po zakupie oprogramowania, administrator po zalogowaniu się do serwera poprzez konsolę administracyjną musi zostać poinformowany o tym fakcie za pomocą okna informacyjnego.</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tworzenia repozytorium aktualizacji na serwerze centralnego zarządzania i udostępniania go przez wbudowany serwer http.</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Aplikacja musi posiadać funkcjonalność, która umożliwi dystrybucję aktualizacji za pośrednictwem szyfrowanej komunikacji (za pomocą protokołu </w:t>
            </w:r>
            <w:proofErr w:type="spellStart"/>
            <w:r w:rsidRPr="0075152A">
              <w:rPr>
                <w:rFonts w:asciiTheme="minorHAnsi" w:hAnsiTheme="minorHAnsi"/>
                <w:sz w:val="18"/>
                <w:szCs w:val="18"/>
              </w:rPr>
              <w:t>https</w:t>
            </w:r>
            <w:proofErr w:type="spellEnd"/>
            <w:r w:rsidRPr="0075152A">
              <w:rPr>
                <w:rFonts w:asciiTheme="minorHAnsi" w:hAnsiTheme="minorHAnsi"/>
                <w:sz w:val="18"/>
                <w:szCs w:val="18"/>
              </w:rPr>
              <w:t>).</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Do celu aktualizacji za pośrednictwem protokołu </w:t>
            </w:r>
            <w:proofErr w:type="spellStart"/>
            <w:r w:rsidRPr="0075152A">
              <w:rPr>
                <w:rFonts w:asciiTheme="minorHAnsi" w:hAnsiTheme="minorHAnsi"/>
                <w:sz w:val="18"/>
                <w:szCs w:val="18"/>
              </w:rPr>
              <w:t>https</w:t>
            </w:r>
            <w:proofErr w:type="spellEnd"/>
            <w:r w:rsidRPr="0075152A">
              <w:rPr>
                <w:rFonts w:asciiTheme="minorHAnsi" w:hAnsiTheme="minorHAnsi"/>
                <w:sz w:val="18"/>
                <w:szCs w:val="18"/>
              </w:rPr>
              <w:t xml:space="preserve"> nie jest wymagane instalowanie dodatkowych zewnętrznych usług jak IIS lub Apache zarówno od strony serwera aktualizacji jak i klienta.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Dostęp do kwarantanny klienta ma być z poziomu systemu centralnego zarządzania.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Możliwość przywrócenia lub pobrania zainfekowanego pliku ze stacji klienckiej przy wykorzystaniu centralnej administracji. </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Administrator ma mieć możliwość przywrócenia i wyłączenia ze skanowania pliku pobranego z kwarantanny stacji klienckiej.</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Podczas przywracania pliku, administrator ma mieć możliwość zdefiniowania kryteriów dla plików, które zostaną przywrócone w tym minimum: zakres czasu z dokładnością co do minuty kiedy wykryto daną infekcję, nazwa danego zagrożenia, dokładna nazwa wykrytego obiektu oraz zakres minimalnej i maksymalnej wielkości pliku z dokładnością do jednego bajta. </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utworzenia grup, do których przynależność jest aplikowana dynamicznie na podstawie zmieniających się parametrów klientów w tym minimum w oparciu o: wersję bazy sygnatur wirusów, maskę wersji bazy sygnatur wirusów, nazwę zainstalowanej aplikacji, dokładną wersję zainstalowanej aplikacji, przynależność do domeny lub grupy roboczej, przynależność do serwera centralnego zarządzania, przynależności lub jej braku do grup statycznych, nazwę komputera lub jej maskę, adres IP, zakres adresów IP, przypisaną politykę, czas ostatniego połączenia z systemem centralnej administracji, oczekiwania na restart, ostatnie zdarzenie związane z wirusem, ostatnie zdarzenie związane z usługą programu lub jego procesem, ostatnie zdarzenie związane ze skanowaniem na żądanie oraz z nieudanym leczeniem podczas takiego skanowania, maską wersji systemu operacyjnego oraz flagą klienta mobilnego.</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Podczas tworzenia grup dynamicznych, parametry dla klientów można dowolnie łączyć oraz dokonywać </w:t>
            </w:r>
            <w:proofErr w:type="spellStart"/>
            <w:r w:rsidRPr="0075152A">
              <w:rPr>
                <w:rFonts w:asciiTheme="minorHAnsi" w:hAnsiTheme="minorHAnsi"/>
                <w:sz w:val="18"/>
                <w:szCs w:val="18"/>
              </w:rPr>
              <w:t>wykluczeń</w:t>
            </w:r>
            <w:proofErr w:type="spellEnd"/>
            <w:r w:rsidRPr="0075152A">
              <w:rPr>
                <w:rFonts w:asciiTheme="minorHAnsi" w:hAnsiTheme="minorHAnsi"/>
                <w:sz w:val="18"/>
                <w:szCs w:val="18"/>
              </w:rPr>
              <w:t xml:space="preserve"> pomiędzy nimi.</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Utworzone grupy dynamiczne mogą współpracować z grupami statycznymi.</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lastRenderedPageBreak/>
              <w:t>Możliwość definiowania administratorów o określonych prawach do zarządzania serwerem administracji centralnej (w tym możliwość utworzenia administratora z pełnymi uprawnieniami lub uprawnienia tylko do odczytu).</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W przypadku tworzenia administratora z niestandardowymi uprawnieniami możliwość wyboru modułów, do których ma mieć uprawnienia: zarządzanie grupami, powiadomieniami, politykami, licencjami oraz usuwanie i modyfikacja klientów, zdalna instalacja, generowanie raportów, usuwanie logów, zmiana konfiguracji klientów, aktualizacja zdalna, zdalne skanowanie klientów, zarządzanie kwarantanna na klientach.</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synchronizowania użytkowników z Active Directory w celu nadania uprawnień administracyjnych do serwera centralnego zarządzania.</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Wszystkie działania administratorów zalogowanych do serwera administracji centralnej mają być logowane.</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uruchomienia panelu kontrolnego dostępnego za pomocą przeglądarki internetowej.</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Panel kontrolny musi umożliwiać administratorowi wybór elementów monitorujących, które mają być widoczne.</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Administrator musi posiadać możliwość tworzenia wielu zakładek, w których będą widoczne wybrane przez administratora elementy monitorujące.</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Elementy monitorujące muszą umożliwiać podgląd w postaci graficznej co najmniej: bieżącego obciążenia serwera zarządzającego, statusu serwera zarządzającego, obciążenia bazy danych z której korzysta serwer zarządzający, obciążenia komputera, na którym zainstalowana jest usługa serwera zarządzającego, informacji odnośnie komputerów z zainstalowaną aplikacja antywirusową, a które nie są centralnie zarządzane, podsumowania modułu antyspamowego, informacji o klientach znajdujących się w poszczególnych grupach, informacji o klientach z największą ilością zablokowanych stron internetowych, klientach, na których zostały zablokowane urządzenia zewnętrzne, informacje na temat </w:t>
            </w:r>
            <w:proofErr w:type="spellStart"/>
            <w:r w:rsidRPr="0075152A">
              <w:rPr>
                <w:rFonts w:asciiTheme="minorHAnsi" w:hAnsiTheme="minorHAnsi"/>
                <w:sz w:val="18"/>
                <w:szCs w:val="18"/>
              </w:rPr>
              <w:t>greylistingu</w:t>
            </w:r>
            <w:proofErr w:type="spellEnd"/>
            <w:r w:rsidRPr="0075152A">
              <w:rPr>
                <w:rFonts w:asciiTheme="minorHAnsi" w:hAnsiTheme="minorHAnsi"/>
                <w:sz w:val="18"/>
                <w:szCs w:val="18"/>
              </w:rPr>
              <w:t>, podsumowania wykorzystywanych systemach operacyjnych, informacje odnośnie spamu sms, zagrożeń oraz ataków sieciowych</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Administrator musi posiadać możliwość maksymalizacji wybranego elementu monitorującego.</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Możliwość włączenia opcji pobierania aktualizacji z serwerów producenta z opóźnieniem.</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 xml:space="preserve">Możliwość przywrócenia baz sygnatur wirusów wstecz (tzw. </w:t>
            </w:r>
            <w:proofErr w:type="spellStart"/>
            <w:r w:rsidRPr="0075152A">
              <w:rPr>
                <w:rFonts w:asciiTheme="minorHAnsi" w:hAnsiTheme="minorHAnsi"/>
                <w:sz w:val="18"/>
                <w:szCs w:val="18"/>
              </w:rPr>
              <w:t>Rollback</w:t>
            </w:r>
            <w:proofErr w:type="spellEnd"/>
            <w:r w:rsidRPr="0075152A">
              <w:rPr>
                <w:rFonts w:asciiTheme="minorHAnsi" w:hAnsiTheme="minorHAnsi"/>
                <w:sz w:val="18"/>
                <w:szCs w:val="18"/>
              </w:rPr>
              <w:t>).</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Aplikacja musi mieć możliwość przygotowania paczki instalacyjnej dla stacji klienckiej, która będzie pozbawiona wybranej funkcjonalności.</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Wsparcie dla protokołu IPv6</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lastRenderedPageBreak/>
              <w:t xml:space="preserve">Administrator musi posiadać możliwość centralnego, tymczasowego wyłączenia wybranego modułu ochrony na stacji roboczej. </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Centralne tymczasowe wyłączenie danego modułu nie może skutkować koniecznością restartu stacji roboczej.</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Aplikacja musi posiadać możliwość natychmiastowego uruchomienia zadania znajdującego się w harmonogramie bez konieczności oczekiwania do jego zaplanowanego czasu.</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Aplikacja do administracji centralnej musi umożliwiać utworzenie nośnika, za pomocą którego będzie istniała możliwość przeskanowania dowolnego komputera objętego licencją przed startem systemu.</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r w:rsidR="0075152A" w:rsidRPr="00394D88" w:rsidTr="009F3B3A">
        <w:trPr>
          <w:jc w:val="center"/>
        </w:trPr>
        <w:tc>
          <w:tcPr>
            <w:tcW w:w="7267" w:type="dxa"/>
          </w:tcPr>
          <w:p w:rsidR="0075152A" w:rsidRPr="0075152A" w:rsidRDefault="0075152A" w:rsidP="0070199B">
            <w:pPr>
              <w:pStyle w:val="Akapitzlist"/>
              <w:numPr>
                <w:ilvl w:val="0"/>
                <w:numId w:val="5"/>
              </w:numPr>
              <w:rPr>
                <w:rFonts w:asciiTheme="minorHAnsi" w:hAnsiTheme="minorHAnsi"/>
                <w:sz w:val="18"/>
                <w:szCs w:val="18"/>
              </w:rPr>
            </w:pPr>
            <w:r w:rsidRPr="0075152A">
              <w:rPr>
                <w:rFonts w:asciiTheme="minorHAnsi" w:hAnsiTheme="minorHAnsi"/>
                <w:sz w:val="18"/>
                <w:szCs w:val="18"/>
              </w:rPr>
              <w:t>Administrator musi posiadać możliwość określenia ilości jednoczesnych wątków instalacji centralnej oprogramowania klienckiego.</w:t>
            </w:r>
          </w:p>
        </w:tc>
        <w:tc>
          <w:tcPr>
            <w:tcW w:w="6908" w:type="dxa"/>
          </w:tcPr>
          <w:p w:rsidR="0075152A" w:rsidRPr="00394D88" w:rsidRDefault="0075152A" w:rsidP="0075152A">
            <w:pPr>
              <w:widowControl w:val="0"/>
              <w:snapToGrid w:val="0"/>
              <w:spacing w:before="120"/>
              <w:rPr>
                <w:rFonts w:asciiTheme="minorHAnsi" w:hAnsiTheme="minorHAnsi" w:cstheme="minorHAnsi"/>
              </w:rPr>
            </w:pPr>
          </w:p>
        </w:tc>
      </w:tr>
    </w:tbl>
    <w:p w:rsidR="00815B4A" w:rsidRDefault="00815B4A"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83474E">
      <w:pPr>
        <w:pStyle w:val="Tekstpodstawowywcity"/>
        <w:jc w:val="center"/>
        <w:rPr>
          <w:b/>
          <w:szCs w:val="24"/>
        </w:rPr>
      </w:pPr>
      <w:r>
        <w:rPr>
          <w:b/>
          <w:szCs w:val="24"/>
        </w:rPr>
        <w:t>.................................................</w:t>
      </w:r>
    </w:p>
    <w:p w:rsidR="0083474E" w:rsidRDefault="0083474E" w:rsidP="0083474E">
      <w:pPr>
        <w:pStyle w:val="Tekstpodstawowywcity"/>
        <w:jc w:val="center"/>
        <w:rPr>
          <w:b/>
          <w:bCs/>
          <w:sz w:val="20"/>
        </w:rPr>
      </w:pPr>
      <w:r>
        <w:rPr>
          <w:b/>
          <w:bCs/>
          <w:sz w:val="20"/>
        </w:rPr>
        <w:t>Podpis upoważnionego</w:t>
      </w:r>
    </w:p>
    <w:p w:rsidR="0083474E" w:rsidRDefault="0083474E" w:rsidP="0083474E">
      <w:pPr>
        <w:pStyle w:val="Tekstpodstawowywcity"/>
        <w:jc w:val="center"/>
        <w:rPr>
          <w:b/>
          <w:sz w:val="20"/>
        </w:rPr>
      </w:pPr>
      <w:r>
        <w:rPr>
          <w:b/>
          <w:sz w:val="20"/>
        </w:rPr>
        <w:t>przedstawiciela Wykonawcy</w:t>
      </w:r>
    </w:p>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Pr>
        <w:sectPr w:rsidR="0083474E" w:rsidSect="0083474E">
          <w:pgSz w:w="16838" w:h="11906" w:orient="landscape"/>
          <w:pgMar w:top="1418" w:right="1418" w:bottom="1418" w:left="1418" w:header="709" w:footer="709" w:gutter="0"/>
          <w:cols w:space="708"/>
          <w:docGrid w:linePitch="360"/>
        </w:sectPr>
      </w:pPr>
    </w:p>
    <w:p w:rsidR="0083474E" w:rsidRDefault="0083474E" w:rsidP="00DD767E">
      <w:pPr>
        <w:jc w:val="right"/>
        <w:rPr>
          <w:rFonts w:asciiTheme="minorHAnsi" w:hAnsiTheme="minorHAnsi"/>
        </w:rPr>
      </w:pPr>
      <w:r w:rsidRPr="0083474E">
        <w:rPr>
          <w:rFonts w:asciiTheme="minorHAnsi" w:hAnsiTheme="minorHAnsi"/>
        </w:rPr>
        <w:lastRenderedPageBreak/>
        <w:t xml:space="preserve">Załącznik nr 5B do </w:t>
      </w:r>
      <w:proofErr w:type="spellStart"/>
      <w:r w:rsidRPr="0083474E">
        <w:rPr>
          <w:rFonts w:asciiTheme="minorHAnsi" w:hAnsiTheme="minorHAnsi"/>
        </w:rPr>
        <w:t>siwz</w:t>
      </w:r>
      <w:proofErr w:type="spellEnd"/>
    </w:p>
    <w:p w:rsidR="00DD767E" w:rsidRDefault="00DD767E" w:rsidP="00DD767E">
      <w:pPr>
        <w:jc w:val="right"/>
        <w:rPr>
          <w:rFonts w:asciiTheme="minorHAnsi" w:hAnsiTheme="minorHAnsi"/>
        </w:rPr>
      </w:pPr>
      <w:bookmarkStart w:id="0" w:name="_GoBack"/>
      <w:bookmarkEnd w:id="0"/>
    </w:p>
    <w:p w:rsidR="0083474E" w:rsidRPr="0083474E" w:rsidRDefault="0083474E" w:rsidP="00DD767E">
      <w:pPr>
        <w:jc w:val="center"/>
        <w:rPr>
          <w:rFonts w:asciiTheme="minorHAnsi" w:hAnsiTheme="minorHAnsi"/>
          <w:b/>
          <w:sz w:val="28"/>
          <w:szCs w:val="28"/>
        </w:rPr>
      </w:pPr>
      <w:r w:rsidRPr="0083474E">
        <w:rPr>
          <w:rFonts w:asciiTheme="minorHAnsi" w:hAnsiTheme="minorHAnsi"/>
          <w:b/>
          <w:sz w:val="28"/>
          <w:szCs w:val="28"/>
        </w:rPr>
        <w:t>Wykaz asortymentowo – cenowy (dotyczy części 5)</w:t>
      </w:r>
    </w:p>
    <w:p w:rsidR="0083474E" w:rsidRDefault="0083474E" w:rsidP="00CF43AB"/>
    <w:p w:rsidR="0083474E" w:rsidRDefault="0083474E" w:rsidP="00CF43AB"/>
    <w:p w:rsidR="0083474E" w:rsidRDefault="0083474E" w:rsidP="0083474E">
      <w:pPr>
        <w:spacing w:after="200" w:line="276" w:lineRule="auto"/>
        <w:jc w:val="center"/>
        <w:rPr>
          <w:rFonts w:ascii="Calibri" w:hAnsi="Calibri" w:cs="Calibri"/>
          <w:b/>
          <w:bCs/>
          <w:sz w:val="28"/>
          <w:szCs w:val="28"/>
        </w:rPr>
      </w:pPr>
      <w:r>
        <w:rPr>
          <w:rFonts w:ascii="Calibri" w:hAnsi="Calibri" w:cs="Calibri"/>
          <w:b/>
          <w:bCs/>
          <w:sz w:val="28"/>
          <w:szCs w:val="28"/>
        </w:rPr>
        <w:t xml:space="preserve">Tabela 1. - </w:t>
      </w:r>
      <w:r w:rsidRPr="006958EC">
        <w:rPr>
          <w:rFonts w:ascii="Calibri" w:hAnsi="Calibri" w:cs="Calibri"/>
          <w:b/>
          <w:bCs/>
          <w:sz w:val="28"/>
          <w:szCs w:val="28"/>
        </w:rPr>
        <w:t xml:space="preserve">Wykaz asortymentowy </w:t>
      </w:r>
      <w:r>
        <w:rPr>
          <w:rFonts w:ascii="Calibri" w:hAnsi="Calibri" w:cs="Calibri"/>
          <w:b/>
          <w:bCs/>
          <w:sz w:val="28"/>
          <w:szCs w:val="28"/>
        </w:rPr>
        <w:t xml:space="preserve">i ilościowy do wyceny </w:t>
      </w:r>
      <w:r w:rsidRPr="006958EC">
        <w:rPr>
          <w:rFonts w:ascii="Calibri" w:hAnsi="Calibri" w:cs="Calibri"/>
          <w:b/>
          <w:bCs/>
          <w:sz w:val="28"/>
          <w:szCs w:val="28"/>
        </w:rPr>
        <w:t xml:space="preserve">w części </w:t>
      </w:r>
      <w:r>
        <w:rPr>
          <w:rFonts w:ascii="Calibri" w:hAnsi="Calibri" w:cs="Calibri"/>
          <w:b/>
          <w:bCs/>
          <w:sz w:val="28"/>
          <w:szCs w:val="28"/>
        </w:rPr>
        <w:t>5</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767"/>
        <w:gridCol w:w="1565"/>
        <w:gridCol w:w="1566"/>
        <w:gridCol w:w="1400"/>
        <w:gridCol w:w="1400"/>
      </w:tblGrid>
      <w:tr w:rsidR="0083474E" w:rsidRPr="00EC58B2" w:rsidTr="00841271">
        <w:trPr>
          <w:trHeight w:val="567"/>
          <w:jc w:val="center"/>
        </w:trPr>
        <w:tc>
          <w:tcPr>
            <w:tcW w:w="2906"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1.</w:t>
            </w:r>
          </w:p>
        </w:tc>
        <w:tc>
          <w:tcPr>
            <w:tcW w:w="767"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2.</w:t>
            </w:r>
          </w:p>
        </w:tc>
        <w:tc>
          <w:tcPr>
            <w:tcW w:w="1565"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3.</w:t>
            </w:r>
          </w:p>
        </w:tc>
        <w:tc>
          <w:tcPr>
            <w:tcW w:w="1566"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4.</w:t>
            </w:r>
          </w:p>
        </w:tc>
        <w:tc>
          <w:tcPr>
            <w:tcW w:w="1400"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5.</w:t>
            </w:r>
          </w:p>
        </w:tc>
        <w:tc>
          <w:tcPr>
            <w:tcW w:w="1400" w:type="dxa"/>
            <w:tcBorders>
              <w:top w:val="single" w:sz="4" w:space="0" w:color="auto"/>
              <w:left w:val="single" w:sz="4" w:space="0" w:color="auto"/>
              <w:bottom w:val="single" w:sz="18"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i/>
                <w:iCs/>
                <w:sz w:val="18"/>
                <w:szCs w:val="18"/>
              </w:rPr>
            </w:pPr>
            <w:r w:rsidRPr="00EC58B2">
              <w:rPr>
                <w:rFonts w:ascii="Calibri" w:hAnsi="Calibri" w:cs="Calibri"/>
                <w:i/>
                <w:iCs/>
                <w:sz w:val="18"/>
                <w:szCs w:val="18"/>
              </w:rPr>
              <w:t>6.</w:t>
            </w:r>
          </w:p>
        </w:tc>
      </w:tr>
      <w:tr w:rsidR="0083474E" w:rsidRPr="00AB2728" w:rsidTr="00841271">
        <w:trPr>
          <w:cantSplit/>
          <w:trHeight w:val="1134"/>
          <w:jc w:val="center"/>
        </w:trPr>
        <w:tc>
          <w:tcPr>
            <w:tcW w:w="2906" w:type="dxa"/>
            <w:tcBorders>
              <w:top w:val="single" w:sz="18" w:space="0" w:color="auto"/>
              <w:left w:val="single" w:sz="4" w:space="0" w:color="auto"/>
              <w:bottom w:val="single" w:sz="12"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b/>
                <w:bCs/>
              </w:rPr>
            </w:pPr>
            <w:r w:rsidRPr="00EC58B2">
              <w:rPr>
                <w:rFonts w:ascii="Calibri" w:hAnsi="Calibri" w:cs="Calibri"/>
                <w:b/>
                <w:bCs/>
                <w:sz w:val="22"/>
                <w:szCs w:val="22"/>
              </w:rPr>
              <w:t xml:space="preserve">Nazwa </w:t>
            </w:r>
            <w:r>
              <w:rPr>
                <w:rFonts w:ascii="Calibri" w:hAnsi="Calibri" w:cs="Calibri"/>
                <w:b/>
                <w:bCs/>
                <w:sz w:val="22"/>
                <w:szCs w:val="22"/>
              </w:rPr>
              <w:t>oprogramowania</w:t>
            </w:r>
            <w:r w:rsidRPr="00EC58B2">
              <w:rPr>
                <w:rFonts w:ascii="Calibri" w:hAnsi="Calibri" w:cs="Calibri"/>
                <w:b/>
                <w:bCs/>
                <w:sz w:val="22"/>
                <w:szCs w:val="22"/>
              </w:rPr>
              <w:t xml:space="preserve"> </w:t>
            </w:r>
          </w:p>
        </w:tc>
        <w:tc>
          <w:tcPr>
            <w:tcW w:w="767" w:type="dxa"/>
            <w:tcBorders>
              <w:top w:val="single" w:sz="18" w:space="0" w:color="auto"/>
              <w:left w:val="single" w:sz="4" w:space="0" w:color="auto"/>
              <w:bottom w:val="single" w:sz="12" w:space="0" w:color="auto"/>
              <w:right w:val="single" w:sz="4" w:space="0" w:color="auto"/>
            </w:tcBorders>
            <w:textDirection w:val="btLr"/>
            <w:vAlign w:val="center"/>
          </w:tcPr>
          <w:p w:rsidR="0083474E" w:rsidRPr="00EC58B2" w:rsidRDefault="0083474E" w:rsidP="00841271">
            <w:pPr>
              <w:spacing w:line="80" w:lineRule="atLeast"/>
              <w:ind w:left="113" w:right="4"/>
              <w:jc w:val="center"/>
              <w:rPr>
                <w:rFonts w:ascii="Calibri" w:hAnsi="Calibri" w:cs="Calibri"/>
                <w:b/>
                <w:bCs/>
              </w:rPr>
            </w:pPr>
            <w:r w:rsidRPr="00EC58B2">
              <w:rPr>
                <w:rFonts w:ascii="Calibri" w:hAnsi="Calibri" w:cs="Calibri"/>
                <w:b/>
                <w:bCs/>
                <w:sz w:val="22"/>
                <w:szCs w:val="22"/>
              </w:rPr>
              <w:t>Liczba (szt.)</w:t>
            </w:r>
          </w:p>
        </w:tc>
        <w:tc>
          <w:tcPr>
            <w:tcW w:w="1565" w:type="dxa"/>
            <w:tcBorders>
              <w:top w:val="single" w:sz="18" w:space="0" w:color="auto"/>
              <w:left w:val="single" w:sz="4" w:space="0" w:color="auto"/>
              <w:bottom w:val="single" w:sz="12"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b/>
                <w:bCs/>
              </w:rPr>
            </w:pPr>
            <w:r w:rsidRPr="00EC58B2">
              <w:rPr>
                <w:rFonts w:ascii="Calibri" w:hAnsi="Calibri" w:cs="Calibri"/>
                <w:b/>
                <w:bCs/>
                <w:sz w:val="22"/>
                <w:szCs w:val="22"/>
              </w:rPr>
              <w:t>Cena jednostkowa netto</w:t>
            </w:r>
          </w:p>
        </w:tc>
        <w:tc>
          <w:tcPr>
            <w:tcW w:w="1566" w:type="dxa"/>
            <w:tcBorders>
              <w:top w:val="single" w:sz="18" w:space="0" w:color="auto"/>
              <w:left w:val="single" w:sz="4" w:space="0" w:color="auto"/>
              <w:bottom w:val="single" w:sz="12" w:space="0" w:color="auto"/>
              <w:right w:val="single" w:sz="4" w:space="0" w:color="auto"/>
            </w:tcBorders>
            <w:vAlign w:val="center"/>
          </w:tcPr>
          <w:p w:rsidR="0083474E" w:rsidRPr="00EC58B2" w:rsidRDefault="0083474E" w:rsidP="00841271">
            <w:pPr>
              <w:spacing w:line="80" w:lineRule="atLeast"/>
              <w:ind w:right="4"/>
              <w:jc w:val="center"/>
              <w:rPr>
                <w:rFonts w:ascii="Calibri" w:hAnsi="Calibri" w:cs="Calibri"/>
                <w:b/>
                <w:bCs/>
              </w:rPr>
            </w:pPr>
            <w:r w:rsidRPr="00EC58B2">
              <w:rPr>
                <w:rFonts w:ascii="Calibri" w:hAnsi="Calibri" w:cs="Calibri"/>
                <w:b/>
                <w:bCs/>
                <w:sz w:val="22"/>
                <w:szCs w:val="22"/>
              </w:rPr>
              <w:t>Cena jednostkowa brutto</w:t>
            </w:r>
          </w:p>
        </w:tc>
        <w:tc>
          <w:tcPr>
            <w:tcW w:w="1400" w:type="dxa"/>
            <w:tcBorders>
              <w:top w:val="single" w:sz="18" w:space="0" w:color="auto"/>
              <w:left w:val="single" w:sz="4" w:space="0" w:color="auto"/>
              <w:bottom w:val="single" w:sz="12" w:space="0" w:color="auto"/>
              <w:right w:val="single" w:sz="4" w:space="0" w:color="auto"/>
            </w:tcBorders>
            <w:vAlign w:val="center"/>
          </w:tcPr>
          <w:p w:rsidR="0083474E" w:rsidRPr="00187149" w:rsidRDefault="0083474E" w:rsidP="00841271">
            <w:pPr>
              <w:spacing w:line="80" w:lineRule="atLeast"/>
              <w:ind w:right="4"/>
              <w:jc w:val="center"/>
              <w:rPr>
                <w:rFonts w:ascii="Calibri" w:hAnsi="Calibri" w:cs="Calibri"/>
                <w:b/>
                <w:bCs/>
              </w:rPr>
            </w:pPr>
            <w:r w:rsidRPr="00187149">
              <w:rPr>
                <w:rFonts w:ascii="Calibri" w:hAnsi="Calibri" w:cs="Calibri"/>
                <w:b/>
                <w:bCs/>
                <w:sz w:val="22"/>
                <w:szCs w:val="22"/>
              </w:rPr>
              <w:t>Wartość netto (kol. 2 x kol. 3)</w:t>
            </w:r>
          </w:p>
        </w:tc>
        <w:tc>
          <w:tcPr>
            <w:tcW w:w="1400" w:type="dxa"/>
            <w:tcBorders>
              <w:top w:val="single" w:sz="18" w:space="0" w:color="auto"/>
              <w:left w:val="single" w:sz="4" w:space="0" w:color="auto"/>
              <w:bottom w:val="single" w:sz="12" w:space="0" w:color="auto"/>
              <w:right w:val="single" w:sz="4" w:space="0" w:color="auto"/>
            </w:tcBorders>
            <w:vAlign w:val="center"/>
          </w:tcPr>
          <w:p w:rsidR="0083474E" w:rsidRPr="00187149" w:rsidRDefault="0083474E" w:rsidP="00841271">
            <w:pPr>
              <w:spacing w:line="80" w:lineRule="atLeast"/>
              <w:ind w:right="4"/>
              <w:jc w:val="center"/>
              <w:rPr>
                <w:rFonts w:ascii="Calibri" w:hAnsi="Calibri" w:cs="Calibri"/>
                <w:b/>
                <w:bCs/>
              </w:rPr>
            </w:pPr>
            <w:r w:rsidRPr="00187149">
              <w:rPr>
                <w:rFonts w:ascii="Calibri" w:hAnsi="Calibri" w:cs="Calibri"/>
                <w:b/>
                <w:bCs/>
                <w:sz w:val="22"/>
                <w:szCs w:val="22"/>
              </w:rPr>
              <w:t>Wartość brutto (kol. 2 x kol. 3)</w:t>
            </w:r>
          </w:p>
        </w:tc>
      </w:tr>
      <w:tr w:rsidR="0083474E" w:rsidRPr="00EC58B2" w:rsidTr="00841271">
        <w:trPr>
          <w:trHeight w:val="567"/>
          <w:jc w:val="center"/>
        </w:trPr>
        <w:tc>
          <w:tcPr>
            <w:tcW w:w="2906"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b/>
                <w:bCs/>
              </w:rPr>
            </w:pPr>
            <w:r>
              <w:rPr>
                <w:rFonts w:ascii="Calibri" w:hAnsi="Calibri" w:cs="Calibri"/>
                <w:b/>
                <w:bCs/>
              </w:rPr>
              <w:t>Oprogramowanie antywirusowe</w:t>
            </w:r>
          </w:p>
        </w:tc>
        <w:tc>
          <w:tcPr>
            <w:tcW w:w="767"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b/>
                <w:bCs/>
              </w:rPr>
            </w:pPr>
            <w:r>
              <w:rPr>
                <w:rFonts w:ascii="Calibri" w:hAnsi="Calibri" w:cs="Calibri"/>
                <w:b/>
                <w:bCs/>
              </w:rPr>
              <w:t>520</w:t>
            </w:r>
          </w:p>
        </w:tc>
        <w:tc>
          <w:tcPr>
            <w:tcW w:w="1565"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rPr>
            </w:pPr>
          </w:p>
        </w:tc>
        <w:tc>
          <w:tcPr>
            <w:tcW w:w="1566"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rPr>
                <w:rFonts w:ascii="Calibri" w:hAnsi="Calibri" w:cs="Calibri"/>
              </w:rPr>
            </w:pPr>
          </w:p>
        </w:tc>
      </w:tr>
      <w:tr w:rsidR="0083474E" w:rsidRPr="00EC58B2" w:rsidTr="00841271">
        <w:trPr>
          <w:trHeight w:val="567"/>
          <w:jc w:val="center"/>
        </w:trPr>
        <w:tc>
          <w:tcPr>
            <w:tcW w:w="6804" w:type="dxa"/>
            <w:gridSpan w:val="4"/>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b/>
                <w:bCs/>
              </w:rPr>
            </w:pPr>
            <w:r w:rsidRPr="00EC58B2">
              <w:rPr>
                <w:rFonts w:ascii="Calibri" w:hAnsi="Calibri" w:cs="Calibri"/>
                <w:b/>
                <w:bCs/>
              </w:rPr>
              <w:t>RAZEM</w:t>
            </w:r>
          </w:p>
        </w:tc>
        <w:tc>
          <w:tcPr>
            <w:tcW w:w="1400"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83474E" w:rsidRPr="00EC58B2" w:rsidRDefault="0083474E" w:rsidP="00841271">
            <w:pPr>
              <w:spacing w:line="80" w:lineRule="atLeast"/>
              <w:ind w:right="4"/>
              <w:jc w:val="center"/>
              <w:rPr>
                <w:rFonts w:ascii="Calibri" w:hAnsi="Calibri" w:cs="Calibri"/>
              </w:rPr>
            </w:pPr>
          </w:p>
        </w:tc>
      </w:tr>
    </w:tbl>
    <w:p w:rsidR="0083474E" w:rsidRDefault="0083474E" w:rsidP="0083474E">
      <w:pPr>
        <w:autoSpaceDE w:val="0"/>
        <w:autoSpaceDN w:val="0"/>
        <w:adjustRightInd w:val="0"/>
      </w:pPr>
    </w:p>
    <w:p w:rsidR="0083474E" w:rsidRDefault="0083474E" w:rsidP="0083474E">
      <w:pPr>
        <w:autoSpaceDE w:val="0"/>
        <w:autoSpaceDN w:val="0"/>
        <w:adjustRightInd w:val="0"/>
      </w:pPr>
    </w:p>
    <w:p w:rsidR="0083474E" w:rsidRDefault="0083474E" w:rsidP="0083474E">
      <w:pPr>
        <w:autoSpaceDE w:val="0"/>
        <w:autoSpaceDN w:val="0"/>
        <w:adjustRightInd w:val="0"/>
      </w:pPr>
    </w:p>
    <w:p w:rsidR="0083474E" w:rsidRPr="00DC7A87" w:rsidRDefault="0083474E" w:rsidP="0083474E">
      <w:pPr>
        <w:autoSpaceDE w:val="0"/>
        <w:autoSpaceDN w:val="0"/>
        <w:adjustRightInd w:val="0"/>
      </w:pPr>
    </w:p>
    <w:p w:rsidR="0083474E" w:rsidRPr="00E16D36" w:rsidRDefault="0083474E" w:rsidP="0083474E">
      <w:pPr>
        <w:autoSpaceDE w:val="0"/>
        <w:autoSpaceDN w:val="0"/>
        <w:adjustRightInd w:val="0"/>
        <w:spacing w:line="360" w:lineRule="auto"/>
        <w:rPr>
          <w:rFonts w:ascii="Calibri" w:hAnsi="Calibri" w:cs="Calibri"/>
          <w:sz w:val="24"/>
          <w:szCs w:val="28"/>
        </w:rPr>
      </w:pPr>
      <w:r w:rsidRPr="00E16D36">
        <w:rPr>
          <w:rFonts w:ascii="Calibri" w:hAnsi="Calibri" w:cs="Calibri"/>
          <w:sz w:val="24"/>
          <w:szCs w:val="28"/>
        </w:rPr>
        <w:t>Razem netto:</w:t>
      </w:r>
    </w:p>
    <w:p w:rsidR="0083474E" w:rsidRPr="00E16D36" w:rsidRDefault="0083474E" w:rsidP="0083474E">
      <w:pPr>
        <w:autoSpaceDE w:val="0"/>
        <w:autoSpaceDN w:val="0"/>
        <w:adjustRightInd w:val="0"/>
        <w:spacing w:line="360" w:lineRule="auto"/>
        <w:rPr>
          <w:rFonts w:ascii="Calibri" w:hAnsi="Calibri" w:cs="Calibri"/>
          <w:sz w:val="24"/>
          <w:szCs w:val="28"/>
        </w:rPr>
      </w:pPr>
      <w:r w:rsidRPr="00E16D36">
        <w:rPr>
          <w:rFonts w:ascii="Calibri" w:hAnsi="Calibri" w:cs="Calibri"/>
          <w:sz w:val="24"/>
          <w:szCs w:val="28"/>
        </w:rPr>
        <w:t>(słownie: ...............................................................................................................zł netto)</w:t>
      </w:r>
    </w:p>
    <w:p w:rsidR="0083474E" w:rsidRPr="00E16D36" w:rsidRDefault="0083474E" w:rsidP="0083474E">
      <w:pPr>
        <w:spacing w:line="360" w:lineRule="auto"/>
        <w:ind w:right="4"/>
        <w:rPr>
          <w:rFonts w:ascii="Calibri" w:hAnsi="Calibri" w:cs="Calibri"/>
          <w:sz w:val="24"/>
          <w:szCs w:val="28"/>
        </w:rPr>
      </w:pPr>
      <w:r w:rsidRPr="00E16D36">
        <w:rPr>
          <w:rFonts w:ascii="Calibri" w:hAnsi="Calibri" w:cs="Calibri"/>
          <w:sz w:val="24"/>
          <w:szCs w:val="28"/>
        </w:rPr>
        <w:t>Stawka podatku VAT: ……………………%,</w:t>
      </w:r>
    </w:p>
    <w:p w:rsidR="0083474E" w:rsidRPr="00E16D36" w:rsidRDefault="0083474E" w:rsidP="0083474E">
      <w:pPr>
        <w:spacing w:line="360" w:lineRule="auto"/>
        <w:ind w:right="4"/>
        <w:rPr>
          <w:rFonts w:ascii="Calibri" w:hAnsi="Calibri" w:cs="Calibri"/>
          <w:sz w:val="24"/>
          <w:szCs w:val="28"/>
        </w:rPr>
      </w:pPr>
      <w:r w:rsidRPr="00E16D36">
        <w:rPr>
          <w:rFonts w:ascii="Calibri" w:hAnsi="Calibri" w:cs="Calibri"/>
          <w:sz w:val="24"/>
          <w:szCs w:val="28"/>
        </w:rPr>
        <w:t>Wartość podatku VAT:</w:t>
      </w:r>
    </w:p>
    <w:p w:rsidR="0083474E" w:rsidRPr="00E16D36" w:rsidRDefault="0083474E" w:rsidP="0083474E">
      <w:pPr>
        <w:spacing w:line="360" w:lineRule="auto"/>
        <w:ind w:right="4"/>
        <w:rPr>
          <w:rFonts w:ascii="Calibri" w:hAnsi="Calibri" w:cs="Calibri"/>
          <w:sz w:val="24"/>
          <w:szCs w:val="28"/>
        </w:rPr>
      </w:pPr>
      <w:r w:rsidRPr="00E16D36">
        <w:rPr>
          <w:rFonts w:ascii="Calibri" w:hAnsi="Calibri" w:cs="Calibri"/>
          <w:sz w:val="24"/>
          <w:szCs w:val="28"/>
        </w:rPr>
        <w:t>(słownie: .........................................................................................................................zł)</w:t>
      </w:r>
    </w:p>
    <w:p w:rsidR="0083474E" w:rsidRPr="00E16D36" w:rsidRDefault="0083474E" w:rsidP="0083474E">
      <w:pPr>
        <w:spacing w:line="360" w:lineRule="auto"/>
        <w:ind w:right="4"/>
        <w:rPr>
          <w:rFonts w:ascii="Calibri" w:hAnsi="Calibri" w:cs="Calibri"/>
          <w:sz w:val="24"/>
          <w:szCs w:val="28"/>
        </w:rPr>
      </w:pPr>
      <w:r w:rsidRPr="00E16D36">
        <w:rPr>
          <w:rFonts w:ascii="Calibri" w:hAnsi="Calibri" w:cs="Calibri"/>
          <w:sz w:val="24"/>
          <w:szCs w:val="28"/>
        </w:rPr>
        <w:t xml:space="preserve">Razem brutto: </w:t>
      </w:r>
    </w:p>
    <w:p w:rsidR="0083474E" w:rsidRPr="00E16D36" w:rsidRDefault="0083474E" w:rsidP="0083474E">
      <w:pPr>
        <w:spacing w:line="360" w:lineRule="auto"/>
        <w:ind w:right="4"/>
        <w:rPr>
          <w:sz w:val="18"/>
        </w:rPr>
      </w:pPr>
      <w:r w:rsidRPr="00E16D36">
        <w:rPr>
          <w:rFonts w:ascii="Calibri" w:hAnsi="Calibri" w:cs="Calibri"/>
          <w:sz w:val="24"/>
          <w:szCs w:val="28"/>
        </w:rPr>
        <w:t>(słownie: ...............................................................................................................zł brutto)</w:t>
      </w:r>
    </w:p>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CF43AB"/>
    <w:p w:rsidR="0083474E" w:rsidRDefault="0083474E" w:rsidP="0083474E">
      <w:pPr>
        <w:pStyle w:val="Tekstpodstawowywcity"/>
        <w:jc w:val="center"/>
        <w:rPr>
          <w:b/>
          <w:szCs w:val="24"/>
        </w:rPr>
      </w:pPr>
      <w:r>
        <w:rPr>
          <w:b/>
          <w:szCs w:val="24"/>
        </w:rPr>
        <w:t>.................................................</w:t>
      </w:r>
    </w:p>
    <w:p w:rsidR="0083474E" w:rsidRDefault="0083474E" w:rsidP="0083474E">
      <w:pPr>
        <w:pStyle w:val="Tekstpodstawowywcity"/>
        <w:jc w:val="center"/>
        <w:rPr>
          <w:b/>
          <w:bCs/>
          <w:sz w:val="20"/>
        </w:rPr>
      </w:pPr>
      <w:r>
        <w:rPr>
          <w:b/>
          <w:bCs/>
          <w:sz w:val="20"/>
        </w:rPr>
        <w:t>Podpis upoważnionego</w:t>
      </w:r>
    </w:p>
    <w:p w:rsidR="0083474E" w:rsidRDefault="0083474E" w:rsidP="0083474E">
      <w:pPr>
        <w:pStyle w:val="Tekstpodstawowywcity"/>
        <w:jc w:val="center"/>
        <w:rPr>
          <w:b/>
          <w:sz w:val="20"/>
        </w:rPr>
      </w:pPr>
      <w:r>
        <w:rPr>
          <w:b/>
          <w:sz w:val="20"/>
        </w:rPr>
        <w:t>przedstawiciela Wykonawcy</w:t>
      </w:r>
    </w:p>
    <w:p w:rsidR="0083474E" w:rsidRDefault="0083474E" w:rsidP="00CF43AB"/>
    <w:sectPr w:rsidR="0083474E" w:rsidSect="0083474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E9655E1"/>
    <w:multiLevelType w:val="hybridMultilevel"/>
    <w:tmpl w:val="A2E22CD6"/>
    <w:lvl w:ilvl="0" w:tplc="056A0F18">
      <w:start w:val="1"/>
      <w:numFmt w:val="decimal"/>
      <w:lvlText w:val="%1."/>
      <w:lvlJc w:val="left"/>
      <w:pPr>
        <w:ind w:left="720" w:hanging="360"/>
      </w:pPr>
      <w:rPr>
        <w:rFonts w:ascii="Calibri" w:hAnsi="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A242A"/>
    <w:multiLevelType w:val="hybridMultilevel"/>
    <w:tmpl w:val="39607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B05E32"/>
    <w:multiLevelType w:val="hybridMultilevel"/>
    <w:tmpl w:val="F9840194"/>
    <w:lvl w:ilvl="0" w:tplc="056A0F18">
      <w:start w:val="1"/>
      <w:numFmt w:val="decimal"/>
      <w:lvlText w:val="%1."/>
      <w:lvlJc w:val="left"/>
      <w:pPr>
        <w:ind w:left="720" w:hanging="360"/>
      </w:pPr>
      <w:rPr>
        <w:rFonts w:ascii="Calibri" w:hAnsi="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C5702B"/>
    <w:multiLevelType w:val="hybridMultilevel"/>
    <w:tmpl w:val="D262BAF0"/>
    <w:lvl w:ilvl="0" w:tplc="746E0F40">
      <w:start w:val="1"/>
      <w:numFmt w:val="decimal"/>
      <w:lvlText w:val="%1."/>
      <w:lvlJc w:val="left"/>
      <w:pPr>
        <w:ind w:left="720" w:hanging="436"/>
      </w:pPr>
      <w:rPr>
        <w:rFonts w:hint="default"/>
        <w:b w:val="0"/>
      </w:rPr>
    </w:lvl>
    <w:lvl w:ilvl="1" w:tplc="BF188C6E">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F3773D"/>
    <w:multiLevelType w:val="hybridMultilevel"/>
    <w:tmpl w:val="438CAF9E"/>
    <w:lvl w:ilvl="0" w:tplc="ABB831DE">
      <w:start w:val="1"/>
      <w:numFmt w:val="decimal"/>
      <w:lvlText w:val="%1."/>
      <w:lvlJc w:val="left"/>
      <w:pPr>
        <w:ind w:left="720" w:hanging="360"/>
      </w:pPr>
      <w:rPr>
        <w:rFonts w:ascii="Calibri" w:hAnsi="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F2"/>
    <w:rsid w:val="0007505B"/>
    <w:rsid w:val="000C6F3C"/>
    <w:rsid w:val="001C06B5"/>
    <w:rsid w:val="001C55DE"/>
    <w:rsid w:val="00291EB6"/>
    <w:rsid w:val="002C31D4"/>
    <w:rsid w:val="00332FB5"/>
    <w:rsid w:val="00394D88"/>
    <w:rsid w:val="004B7AF9"/>
    <w:rsid w:val="0070199B"/>
    <w:rsid w:val="0075152A"/>
    <w:rsid w:val="00815B4A"/>
    <w:rsid w:val="0083474E"/>
    <w:rsid w:val="008C7968"/>
    <w:rsid w:val="00945479"/>
    <w:rsid w:val="00976FED"/>
    <w:rsid w:val="00BF66A6"/>
    <w:rsid w:val="00C467C7"/>
    <w:rsid w:val="00C61E0B"/>
    <w:rsid w:val="00CF31F2"/>
    <w:rsid w:val="00CF43AB"/>
    <w:rsid w:val="00D21D6B"/>
    <w:rsid w:val="00D31BB5"/>
    <w:rsid w:val="00D621A0"/>
    <w:rsid w:val="00DB15B8"/>
    <w:rsid w:val="00DD767E"/>
    <w:rsid w:val="00DF6C5C"/>
    <w:rsid w:val="00E16D36"/>
    <w:rsid w:val="00E310A9"/>
    <w:rsid w:val="00E4121B"/>
    <w:rsid w:val="00E8202B"/>
    <w:rsid w:val="00F10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1F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1F2"/>
    <w:pPr>
      <w:ind w:left="720"/>
      <w:contextualSpacing/>
    </w:pPr>
  </w:style>
  <w:style w:type="paragraph" w:styleId="Bezodstpw">
    <w:name w:val="No Spacing"/>
    <w:uiPriority w:val="1"/>
    <w:qFormat/>
    <w:rsid w:val="0075152A"/>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83474E"/>
    <w:pPr>
      <w:widowControl w:val="0"/>
      <w:jc w:val="both"/>
    </w:pPr>
    <w:rPr>
      <w:sz w:val="24"/>
    </w:rPr>
  </w:style>
  <w:style w:type="character" w:customStyle="1" w:styleId="TekstpodstawowywcityZnak">
    <w:name w:val="Tekst podstawowy wcięty Znak"/>
    <w:basedOn w:val="Domylnaczcionkaakapitu"/>
    <w:link w:val="Tekstpodstawowywcity"/>
    <w:semiHidden/>
    <w:rsid w:val="0083474E"/>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1F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1F2"/>
    <w:pPr>
      <w:ind w:left="720"/>
      <w:contextualSpacing/>
    </w:pPr>
  </w:style>
  <w:style w:type="paragraph" w:styleId="Bezodstpw">
    <w:name w:val="No Spacing"/>
    <w:uiPriority w:val="1"/>
    <w:qFormat/>
    <w:rsid w:val="0075152A"/>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83474E"/>
    <w:pPr>
      <w:widowControl w:val="0"/>
      <w:jc w:val="both"/>
    </w:pPr>
    <w:rPr>
      <w:sz w:val="24"/>
    </w:rPr>
  </w:style>
  <w:style w:type="character" w:customStyle="1" w:styleId="TekstpodstawowywcityZnak">
    <w:name w:val="Tekst podstawowy wcięty Znak"/>
    <w:basedOn w:val="Domylnaczcionkaakapitu"/>
    <w:link w:val="Tekstpodstawowywcity"/>
    <w:semiHidden/>
    <w:rsid w:val="0083474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3862">
      <w:bodyDiv w:val="1"/>
      <w:marLeft w:val="0"/>
      <w:marRight w:val="0"/>
      <w:marTop w:val="0"/>
      <w:marBottom w:val="0"/>
      <w:divBdr>
        <w:top w:val="none" w:sz="0" w:space="0" w:color="auto"/>
        <w:left w:val="none" w:sz="0" w:space="0" w:color="auto"/>
        <w:bottom w:val="none" w:sz="0" w:space="0" w:color="auto"/>
        <w:right w:val="none" w:sz="0" w:space="0" w:color="auto"/>
      </w:divBdr>
    </w:div>
    <w:div w:id="19547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98CF-1A48-40CB-A294-0E78C1F7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3897</Words>
  <Characters>23386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2011-08-01T11:33:00Z</dcterms:created>
  <dcterms:modified xsi:type="dcterms:W3CDTF">2013-02-07T09:16:00Z</dcterms:modified>
</cp:coreProperties>
</file>