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2073" w14:textId="77777777" w:rsidR="003E3AF2" w:rsidRPr="00BB4CB6" w:rsidRDefault="003E3AF2" w:rsidP="00BA368F">
      <w:pPr>
        <w:spacing w:after="141" w:line="259" w:lineRule="auto"/>
        <w:ind w:right="5"/>
        <w:jc w:val="center"/>
        <w:rPr>
          <w:rFonts w:ascii="Times New Roman" w:hAnsi="Times New Roman" w:cs="Times New Roman"/>
          <w:b/>
          <w:sz w:val="26"/>
          <w:lang w:val="en-US"/>
        </w:rPr>
      </w:pPr>
      <w:r w:rsidRPr="00BB4CB6">
        <w:rPr>
          <w:rFonts w:ascii="Times New Roman" w:hAnsi="Times New Roman" w:cs="Times New Roman"/>
          <w:b/>
          <w:sz w:val="26"/>
          <w:lang w:val="en-US"/>
        </w:rPr>
        <w:t>Title of the Paper</w:t>
      </w:r>
    </w:p>
    <w:p w14:paraId="66D0AD72" w14:textId="77777777" w:rsidR="00BA368F" w:rsidRPr="003E3AF2" w:rsidRDefault="003E3AF2" w:rsidP="00BA368F">
      <w:pPr>
        <w:spacing w:after="141" w:line="259" w:lineRule="auto"/>
        <w:ind w:right="5"/>
        <w:jc w:val="center"/>
        <w:rPr>
          <w:rFonts w:ascii="Times New Roman" w:hAnsi="Times New Roman" w:cs="Times New Roman"/>
          <w:lang w:val="en-US"/>
        </w:rPr>
      </w:pPr>
      <w:r w:rsidRPr="003E3AF2">
        <w:rPr>
          <w:rFonts w:ascii="Times New Roman" w:hAnsi="Times New Roman" w:cs="Times New Roman"/>
          <w:lang w:val="en-US"/>
        </w:rPr>
        <w:t>First Name Last Name</w:t>
      </w:r>
      <w:r w:rsidRPr="003E3AF2">
        <w:rPr>
          <w:rFonts w:ascii="Times New Roman" w:hAnsi="Times New Roman" w:cs="Times New Roman"/>
          <w:vertAlign w:val="superscript"/>
          <w:lang w:val="en-US"/>
        </w:rPr>
        <w:t>1</w:t>
      </w:r>
      <w:r>
        <w:rPr>
          <w:rFonts w:ascii="Times New Roman" w:hAnsi="Times New Roman" w:cs="Times New Roman"/>
          <w:vertAlign w:val="superscript"/>
          <w:lang w:val="en-US"/>
        </w:rPr>
        <w:t>*</w:t>
      </w:r>
      <w:r w:rsidRPr="003E3AF2">
        <w:rPr>
          <w:rFonts w:ascii="Times New Roman" w:hAnsi="Times New Roman" w:cs="Times New Roman"/>
          <w:lang w:val="en-US"/>
        </w:rPr>
        <w:t>, First Name Last Name</w:t>
      </w:r>
      <w:r w:rsidRPr="003E3AF2">
        <w:rPr>
          <w:rFonts w:ascii="Times New Roman" w:hAnsi="Times New Roman" w:cs="Times New Roman"/>
          <w:vertAlign w:val="superscript"/>
          <w:lang w:val="en-US"/>
        </w:rPr>
        <w:t>2</w:t>
      </w:r>
      <w:r w:rsidR="00BA368F" w:rsidRPr="003E3AF2">
        <w:rPr>
          <w:rFonts w:ascii="Times New Roman" w:hAnsi="Times New Roman" w:cs="Times New Roman"/>
          <w:lang w:val="en-US"/>
        </w:rPr>
        <w:t xml:space="preserve"> </w:t>
      </w:r>
    </w:p>
    <w:p w14:paraId="6E9AEE2A" w14:textId="77777777" w:rsidR="003E3AF2" w:rsidRPr="003E3AF2" w:rsidRDefault="003E3AF2" w:rsidP="003E3AF2">
      <w:pPr>
        <w:widowControl/>
        <w:numPr>
          <w:ilvl w:val="0"/>
          <w:numId w:val="2"/>
        </w:numPr>
        <w:autoSpaceDE/>
        <w:autoSpaceDN/>
        <w:ind w:right="1866"/>
        <w:jc w:val="center"/>
        <w:rPr>
          <w:rFonts w:ascii="Times New Roman" w:hAnsi="Times New Roman" w:cs="Times New Roman"/>
          <w:i/>
          <w:lang w:val="en-US"/>
        </w:rPr>
      </w:pPr>
      <w:r w:rsidRPr="003E3AF2">
        <w:rPr>
          <w:rFonts w:ascii="Times New Roman" w:hAnsi="Times New Roman" w:cs="Times New Roman"/>
          <w:i/>
          <w:lang w:val="en-US"/>
        </w:rPr>
        <w:t>1 Full name of the represented institution, university, university address.</w:t>
      </w:r>
    </w:p>
    <w:p w14:paraId="48AFB5D9" w14:textId="77777777" w:rsidR="003E3AF2" w:rsidRDefault="003E3AF2" w:rsidP="003E3AF2">
      <w:pPr>
        <w:widowControl/>
        <w:numPr>
          <w:ilvl w:val="0"/>
          <w:numId w:val="2"/>
        </w:numPr>
        <w:autoSpaceDE/>
        <w:autoSpaceDN/>
        <w:ind w:right="1866"/>
        <w:jc w:val="center"/>
        <w:rPr>
          <w:rFonts w:ascii="Times New Roman" w:hAnsi="Times New Roman" w:cs="Times New Roman"/>
          <w:i/>
          <w:lang w:val="en-US"/>
        </w:rPr>
      </w:pPr>
      <w:r w:rsidRPr="003E3AF2">
        <w:rPr>
          <w:rFonts w:ascii="Times New Roman" w:hAnsi="Times New Roman" w:cs="Times New Roman"/>
          <w:i/>
          <w:lang w:val="en-US"/>
        </w:rPr>
        <w:t>2 Full name of the represented institution, university, university address.</w:t>
      </w:r>
    </w:p>
    <w:p w14:paraId="17E01196" w14:textId="1F153B6C" w:rsidR="00BA368F" w:rsidRPr="003E3AF2" w:rsidRDefault="003E3AF2" w:rsidP="003E3AF2">
      <w:pPr>
        <w:widowControl/>
        <w:autoSpaceDE/>
        <w:autoSpaceDN/>
        <w:ind w:left="1985" w:right="1866"/>
        <w:rPr>
          <w:rFonts w:ascii="Times New Roman" w:hAnsi="Times New Roman" w:cs="Times New Roman"/>
          <w:i/>
          <w:lang w:val="en-US"/>
        </w:rPr>
      </w:pPr>
      <w:r>
        <w:rPr>
          <w:rFonts w:ascii="Times New Roman" w:hAnsi="Times New Roman" w:cs="Times New Roman"/>
          <w:i/>
          <w:lang w:val="en-US"/>
        </w:rPr>
        <w:t>*</w:t>
      </w:r>
      <w:r w:rsidRPr="003E3AF2">
        <w:rPr>
          <w:rFonts w:ascii="Times New Roman" w:hAnsi="Times New Roman" w:cs="Times New Roman"/>
          <w:i/>
          <w:lang w:val="en-US"/>
        </w:rPr>
        <w:t>corresponding author: corresponding.</w:t>
      </w:r>
      <w:r w:rsidR="00BB4CB6">
        <w:rPr>
          <w:rFonts w:ascii="Times New Roman" w:hAnsi="Times New Roman" w:cs="Times New Roman"/>
          <w:i/>
          <w:lang w:val="en-US"/>
        </w:rPr>
        <w:t>a</w:t>
      </w:r>
      <w:r w:rsidRPr="003E3AF2">
        <w:rPr>
          <w:rFonts w:ascii="Times New Roman" w:hAnsi="Times New Roman" w:cs="Times New Roman"/>
          <w:i/>
          <w:lang w:val="en-US"/>
        </w:rPr>
        <w:t>uthor@us.edu.pl</w:t>
      </w:r>
      <w:r w:rsidR="00BA368F" w:rsidRPr="003E3AF2">
        <w:rPr>
          <w:rFonts w:ascii="Times New Roman" w:hAnsi="Times New Roman" w:cs="Times New Roman"/>
          <w:i/>
          <w:lang w:val="en-US"/>
        </w:rPr>
        <w:t xml:space="preserve"> </w:t>
      </w:r>
    </w:p>
    <w:p w14:paraId="0A0F7379" w14:textId="77777777" w:rsidR="00BC10FF" w:rsidRPr="003E3AF2" w:rsidRDefault="00BC10FF" w:rsidP="00BC10FF">
      <w:pPr>
        <w:widowControl/>
        <w:autoSpaceDE/>
        <w:autoSpaceDN/>
        <w:ind w:left="1985" w:right="1866"/>
        <w:jc w:val="center"/>
        <w:rPr>
          <w:rFonts w:ascii="Times New Roman" w:hAnsi="Times New Roman" w:cs="Times New Roman"/>
          <w:lang w:val="en-US"/>
        </w:rPr>
      </w:pPr>
    </w:p>
    <w:p w14:paraId="0DCDA37B" w14:textId="77777777" w:rsidR="003E3AF2" w:rsidRDefault="003E3AF2" w:rsidP="00152AFC">
      <w:pPr>
        <w:pStyle w:val="Tekstpodstawowy"/>
        <w:tabs>
          <w:tab w:val="left" w:pos="7230"/>
        </w:tabs>
        <w:spacing w:before="22" w:line="259" w:lineRule="auto"/>
        <w:ind w:left="0" w:right="415"/>
        <w:rPr>
          <w:rFonts w:ascii="Times New Roman" w:hAnsi="Times New Roman" w:cs="Times New Roman"/>
          <w:b/>
          <w:bCs/>
          <w:spacing w:val="-2"/>
          <w:lang w:val="en-US"/>
        </w:rPr>
      </w:pPr>
      <w:r w:rsidRPr="003E3AF2">
        <w:rPr>
          <w:rFonts w:ascii="Times New Roman" w:hAnsi="Times New Roman" w:cs="Times New Roman"/>
          <w:b/>
          <w:bCs/>
          <w:spacing w:val="-2"/>
          <w:lang w:val="en-US"/>
        </w:rPr>
        <w:t>Abstract</w:t>
      </w:r>
    </w:p>
    <w:p w14:paraId="250553D7" w14:textId="77777777" w:rsidR="003E3AF2" w:rsidRPr="003E3AF2" w:rsidRDefault="003E3AF2" w:rsidP="00152AFC">
      <w:pPr>
        <w:pStyle w:val="Tekstpodstawowy"/>
        <w:spacing w:before="118"/>
        <w:ind w:left="0" w:right="424"/>
        <w:rPr>
          <w:rFonts w:ascii="Times New Roman" w:hAnsi="Times New Roman" w:cs="Times New Roman"/>
          <w:sz w:val="18"/>
          <w:lang w:val="en-US"/>
        </w:rPr>
      </w:pPr>
      <w:r w:rsidRPr="003E3AF2">
        <w:rPr>
          <w:rFonts w:ascii="Times New Roman" w:hAnsi="Times New Roman" w:cs="Times New Roman"/>
          <w:sz w:val="18"/>
          <w:lang w:val="en-US"/>
        </w:rPr>
        <w:t>The abstract should be a standalone text of approximately 200–250 words, presenting the essential issues covered in the paper and outlining the main results and conclusions. The abstract should convey information about identified relationships or facts without the need to read the entire publication.</w:t>
      </w:r>
      <w:r>
        <w:rPr>
          <w:rFonts w:ascii="Times New Roman" w:hAnsi="Times New Roman" w:cs="Times New Roman"/>
          <w:sz w:val="18"/>
          <w:lang w:val="en-US"/>
        </w:rPr>
        <w:t xml:space="preserve"> </w:t>
      </w:r>
      <w:r w:rsidRPr="003E3AF2">
        <w:rPr>
          <w:rFonts w:ascii="Times New Roman" w:hAnsi="Times New Roman" w:cs="Times New Roman"/>
          <w:sz w:val="18"/>
          <w:lang w:val="en-US"/>
        </w:rPr>
        <w:t>Font: Times New Roman (TNR), 9 pt, justified alignment.</w:t>
      </w:r>
    </w:p>
    <w:p w14:paraId="586E34BF" w14:textId="77777777" w:rsidR="00D104AE" w:rsidRPr="003E3AF2" w:rsidRDefault="003E3AF2" w:rsidP="00152AFC">
      <w:pPr>
        <w:pStyle w:val="Tekstpodstawowy"/>
        <w:spacing w:before="118"/>
        <w:ind w:left="0" w:right="424"/>
        <w:jc w:val="left"/>
        <w:rPr>
          <w:rFonts w:ascii="Times New Roman" w:hAnsi="Times New Roman" w:cs="Times New Roman"/>
          <w:sz w:val="18"/>
          <w:lang w:val="en-US"/>
        </w:rPr>
      </w:pPr>
      <w:r w:rsidRPr="003E3AF2">
        <w:rPr>
          <w:rFonts w:ascii="Times New Roman" w:hAnsi="Times New Roman" w:cs="Times New Roman"/>
          <w:b/>
          <w:lang w:val="en-US"/>
        </w:rPr>
        <w:t xml:space="preserve">Keywords: </w:t>
      </w:r>
      <w:r w:rsidRPr="003E3AF2">
        <w:rPr>
          <w:rFonts w:ascii="Times New Roman" w:hAnsi="Times New Roman" w:cs="Times New Roman"/>
          <w:sz w:val="18"/>
          <w:lang w:val="en-US"/>
        </w:rPr>
        <w:t>Font – TNR 9 pt, justified. Provide no fewer than 4 and preferably 6 keywords that will assist in indexing and searching.</w:t>
      </w:r>
    </w:p>
    <w:p w14:paraId="16EA74D5" w14:textId="77777777" w:rsidR="003E3AF2" w:rsidRPr="003E3AF2" w:rsidRDefault="003E3AF2" w:rsidP="009F1431">
      <w:pPr>
        <w:pStyle w:val="Tekstpodstawowy"/>
        <w:spacing w:before="118"/>
        <w:ind w:left="144" w:right="424"/>
        <w:jc w:val="left"/>
        <w:rPr>
          <w:rFonts w:ascii="Times New Roman" w:hAnsi="Times New Roman" w:cs="Times New Roman"/>
          <w:lang w:val="en-US"/>
        </w:rPr>
      </w:pPr>
    </w:p>
    <w:p w14:paraId="3B90C301" w14:textId="77777777" w:rsidR="003E3AF2" w:rsidRPr="0060737C" w:rsidRDefault="003E3AF2" w:rsidP="003E3AF2">
      <w:pPr>
        <w:pStyle w:val="NormalnyWeb"/>
        <w:spacing w:after="450" w:line="420" w:lineRule="atLeast"/>
        <w:jc w:val="both"/>
        <w:rPr>
          <w:b/>
          <w:lang w:val="en-US"/>
        </w:rPr>
      </w:pPr>
      <w:r w:rsidRPr="0060737C">
        <w:rPr>
          <w:b/>
          <w:lang w:val="en-US"/>
        </w:rPr>
        <w:t>1. Introduction</w:t>
      </w:r>
    </w:p>
    <w:p w14:paraId="3B95DCF9" w14:textId="77777777" w:rsidR="003E3AF2" w:rsidRPr="003E3AF2" w:rsidRDefault="003E3AF2" w:rsidP="003E3AF2">
      <w:pPr>
        <w:pStyle w:val="NormalnyWeb"/>
        <w:spacing w:before="0" w:beforeAutospacing="0" w:after="0" w:afterAutospacing="0" w:line="360" w:lineRule="auto"/>
        <w:jc w:val="both"/>
        <w:rPr>
          <w:sz w:val="22"/>
          <w:lang w:val="en-US"/>
        </w:rPr>
      </w:pPr>
      <w:r w:rsidRPr="003E3AF2">
        <w:rPr>
          <w:sz w:val="22"/>
          <w:lang w:val="en-US"/>
        </w:rPr>
        <w:t>The text should be prepared in Word (.doc) format using Times New Roman font. Main text – 11 pt, justified, line spacing 1.5.</w:t>
      </w:r>
    </w:p>
    <w:p w14:paraId="7F4B0D9A" w14:textId="77777777" w:rsidR="003E3AF2" w:rsidRPr="003E3AF2" w:rsidRDefault="003E3AF2" w:rsidP="003E3AF2">
      <w:pPr>
        <w:pStyle w:val="NormalnyWeb"/>
        <w:spacing w:before="0" w:beforeAutospacing="0" w:after="0" w:afterAutospacing="0" w:line="360" w:lineRule="auto"/>
        <w:jc w:val="both"/>
        <w:rPr>
          <w:sz w:val="22"/>
          <w:lang w:val="en-US"/>
        </w:rPr>
      </w:pPr>
      <w:r w:rsidRPr="003E3AF2">
        <w:rPr>
          <w:sz w:val="22"/>
          <w:lang w:val="en-US"/>
        </w:rPr>
        <w:t>Text area should be limited to 13.5 cm × 19.5 cm. For this, set the margins on A4 format as follows: top and bottom – 5 cm; left and right – 3.75 cm. Illustrations must not exceed these dimensions. Only tables in landscape orientation m</w:t>
      </w:r>
      <w:r w:rsidR="007E1395">
        <w:rPr>
          <w:sz w:val="22"/>
          <w:lang w:val="en-US"/>
        </w:rPr>
        <w:t xml:space="preserve">ay have a width of up to 21 cm. </w:t>
      </w:r>
      <w:r w:rsidRPr="003E3AF2">
        <w:rPr>
          <w:sz w:val="22"/>
          <w:lang w:val="en-US"/>
        </w:rPr>
        <w:t xml:space="preserve">Section titles (Introduction and further chapters) – bold, 11 </w:t>
      </w:r>
      <w:r w:rsidR="007E1395">
        <w:rPr>
          <w:sz w:val="22"/>
          <w:lang w:val="en-US"/>
        </w:rPr>
        <w:t xml:space="preserve">pt, aligned to the left margin. </w:t>
      </w:r>
      <w:r w:rsidRPr="003E3AF2">
        <w:rPr>
          <w:sz w:val="22"/>
          <w:lang w:val="en-US"/>
        </w:rPr>
        <w:t>The paper must be concise, with correct and current professional terminology (e.g., for chemicals, equipment, and processes). SI units must be used (except temperature, which should be expressed in °C).</w:t>
      </w:r>
    </w:p>
    <w:p w14:paraId="7D55C248" w14:textId="77777777" w:rsidR="003E3AF2" w:rsidRPr="003E3AF2" w:rsidRDefault="007E1395" w:rsidP="003E3AF2">
      <w:pPr>
        <w:pStyle w:val="NormalnyWeb"/>
        <w:spacing w:before="0" w:beforeAutospacing="0" w:after="0" w:afterAutospacing="0" w:line="360" w:lineRule="auto"/>
        <w:jc w:val="both"/>
        <w:rPr>
          <w:sz w:val="22"/>
          <w:lang w:val="en-US"/>
        </w:rPr>
      </w:pPr>
      <w:r>
        <w:rPr>
          <w:sz w:val="22"/>
          <w:lang w:val="en-US"/>
        </w:rPr>
        <w:t xml:space="preserve">Include important details on: </w:t>
      </w:r>
      <w:r w:rsidR="003E3AF2" w:rsidRPr="003E3AF2">
        <w:rPr>
          <w:sz w:val="22"/>
          <w:lang w:val="en-US"/>
        </w:rPr>
        <w:t>orig</w:t>
      </w:r>
      <w:r>
        <w:rPr>
          <w:sz w:val="22"/>
          <w:lang w:val="en-US"/>
        </w:rPr>
        <w:t xml:space="preserve">in of the experimental material </w:t>
      </w:r>
      <w:r w:rsidR="003E3AF2" w:rsidRPr="003E3AF2">
        <w:rPr>
          <w:sz w:val="22"/>
          <w:lang w:val="en-US"/>
        </w:rPr>
        <w:t>research me</w:t>
      </w:r>
      <w:r>
        <w:rPr>
          <w:sz w:val="22"/>
          <w:lang w:val="en-US"/>
        </w:rPr>
        <w:t xml:space="preserve">thodology and reference sources, </w:t>
      </w:r>
      <w:r w:rsidR="003E3AF2" w:rsidRPr="003E3AF2">
        <w:rPr>
          <w:sz w:val="22"/>
          <w:lang w:val="en-US"/>
        </w:rPr>
        <w:t>experimen</w:t>
      </w:r>
      <w:r>
        <w:rPr>
          <w:sz w:val="22"/>
          <w:lang w:val="en-US"/>
        </w:rPr>
        <w:t xml:space="preserve">tal design, </w:t>
      </w:r>
      <w:r w:rsidR="003E3AF2" w:rsidRPr="003E3AF2">
        <w:rPr>
          <w:sz w:val="22"/>
          <w:lang w:val="en-US"/>
        </w:rPr>
        <w:t>numbe</w:t>
      </w:r>
      <w:r>
        <w:rPr>
          <w:sz w:val="22"/>
          <w:lang w:val="en-US"/>
        </w:rPr>
        <w:t xml:space="preserve">r of samples and/or repetitions, statistical methods used </w:t>
      </w:r>
      <w:r w:rsidR="003E3AF2" w:rsidRPr="003E3AF2">
        <w:rPr>
          <w:sz w:val="22"/>
          <w:lang w:val="en-US"/>
        </w:rPr>
        <w:t>summary of results</w:t>
      </w:r>
      <w:r>
        <w:rPr>
          <w:sz w:val="22"/>
          <w:lang w:val="en-US"/>
        </w:rPr>
        <w:t>.</w:t>
      </w:r>
    </w:p>
    <w:p w14:paraId="5E0B2F61" w14:textId="7F8CD947" w:rsidR="003E3AF2" w:rsidRPr="003E3AF2" w:rsidRDefault="003E3AF2" w:rsidP="003E3AF2">
      <w:pPr>
        <w:pStyle w:val="NormalnyWeb"/>
        <w:spacing w:before="0" w:beforeAutospacing="0" w:after="0" w:afterAutospacing="0" w:line="360" w:lineRule="auto"/>
        <w:jc w:val="both"/>
        <w:rPr>
          <w:sz w:val="22"/>
          <w:lang w:val="en-US"/>
        </w:rPr>
      </w:pPr>
      <w:r w:rsidRPr="003E3AF2">
        <w:rPr>
          <w:sz w:val="22"/>
          <w:lang w:val="en-US"/>
        </w:rPr>
        <w:t>A monograph</w:t>
      </w:r>
      <w:r w:rsidR="00BB4CB6">
        <w:rPr>
          <w:sz w:val="22"/>
          <w:lang w:val="en-US"/>
        </w:rPr>
        <w:t xml:space="preserve"> chapter</w:t>
      </w:r>
      <w:r w:rsidRPr="003E3AF2">
        <w:rPr>
          <w:sz w:val="22"/>
          <w:lang w:val="en-US"/>
        </w:rPr>
        <w:t xml:space="preserve"> should be a well-defined, thematically consistent scientific work with a clearly specified aim and scope.</w:t>
      </w:r>
    </w:p>
    <w:p w14:paraId="6E257361" w14:textId="77777777" w:rsidR="003E3AF2" w:rsidRPr="003E3AF2" w:rsidRDefault="003E3AF2" w:rsidP="003E3AF2">
      <w:pPr>
        <w:pStyle w:val="NormalnyWeb"/>
        <w:spacing w:before="0" w:beforeAutospacing="0" w:after="0" w:afterAutospacing="0" w:line="360" w:lineRule="auto"/>
        <w:jc w:val="both"/>
        <w:rPr>
          <w:sz w:val="22"/>
          <w:lang w:val="en-US"/>
        </w:rPr>
      </w:pPr>
      <w:r w:rsidRPr="003E3AF2">
        <w:rPr>
          <w:sz w:val="22"/>
          <w:lang w:val="en-US"/>
        </w:rPr>
        <w:lastRenderedPageBreak/>
        <w:t>A research monograph must present unpublished results. A theoretical monograph should be a synthetic, original, and creative overview of knowledge on a given topic.</w:t>
      </w:r>
    </w:p>
    <w:p w14:paraId="2DC83398" w14:textId="77777777" w:rsidR="003E3AF2" w:rsidRPr="003E3AF2" w:rsidRDefault="003E3AF2" w:rsidP="003E3AF2">
      <w:pPr>
        <w:pStyle w:val="NormalnyWeb"/>
        <w:spacing w:before="0" w:beforeAutospacing="0" w:after="0" w:afterAutospacing="0" w:line="360" w:lineRule="auto"/>
        <w:jc w:val="both"/>
        <w:rPr>
          <w:sz w:val="22"/>
          <w:lang w:val="en-US"/>
        </w:rPr>
      </w:pPr>
    </w:p>
    <w:p w14:paraId="747022A9" w14:textId="77777777" w:rsidR="003E3AF2" w:rsidRPr="003E3AF2" w:rsidRDefault="003E3AF2" w:rsidP="003E3AF2">
      <w:pPr>
        <w:pStyle w:val="NormalnyWeb"/>
        <w:spacing w:before="0" w:beforeAutospacing="0" w:after="0" w:afterAutospacing="0" w:line="360" w:lineRule="auto"/>
        <w:jc w:val="both"/>
        <w:rPr>
          <w:sz w:val="22"/>
          <w:lang w:val="en-US"/>
        </w:rPr>
      </w:pPr>
      <w:r w:rsidRPr="003E3AF2">
        <w:rPr>
          <w:sz w:val="22"/>
          <w:lang w:val="en-US"/>
        </w:rPr>
        <w:t>Text content must be divided into numbered chapters and subchapters with subtitles arrange</w:t>
      </w:r>
      <w:r w:rsidR="007E1395">
        <w:rPr>
          <w:sz w:val="22"/>
          <w:lang w:val="en-US"/>
        </w:rPr>
        <w:t xml:space="preserve">d logically by topic. </w:t>
      </w:r>
      <w:r w:rsidRPr="003E3AF2">
        <w:rPr>
          <w:sz w:val="22"/>
          <w:lang w:val="en-US"/>
        </w:rPr>
        <w:t>Annexes may be included to present</w:t>
      </w:r>
      <w:r w:rsidR="007E1395">
        <w:rPr>
          <w:sz w:val="22"/>
          <w:lang w:val="en-US"/>
        </w:rPr>
        <w:t xml:space="preserve"> detailed experimental results. </w:t>
      </w:r>
      <w:r w:rsidRPr="003E3AF2">
        <w:rPr>
          <w:sz w:val="22"/>
          <w:lang w:val="en-US"/>
        </w:rPr>
        <w:t>For studies involving animals, the methods section must include a statement confirming approval from the ap</w:t>
      </w:r>
      <w:r w:rsidR="007E1395">
        <w:rPr>
          <w:sz w:val="22"/>
          <w:lang w:val="en-US"/>
        </w:rPr>
        <w:t xml:space="preserve">propriate bioethical committee. </w:t>
      </w:r>
      <w:r w:rsidRPr="003E3AF2">
        <w:rPr>
          <w:sz w:val="22"/>
          <w:lang w:val="en-US"/>
        </w:rPr>
        <w:t>Review-type chapters should be divided using unnumbered subheadings, starting with an Introduction and ending with a Summary. Subheadi</w:t>
      </w:r>
      <w:r w:rsidR="007E1395">
        <w:rPr>
          <w:sz w:val="22"/>
          <w:lang w:val="en-US"/>
        </w:rPr>
        <w:t xml:space="preserve">ngs are defined by the authors. </w:t>
      </w:r>
      <w:r w:rsidRPr="003E3AF2">
        <w:rPr>
          <w:sz w:val="22"/>
          <w:lang w:val="en-US"/>
        </w:rPr>
        <w:t>After the Conclusions or Summary, provide information on the project or theme under which the publication was prepared and the sources of funding.</w:t>
      </w:r>
    </w:p>
    <w:p w14:paraId="0CEEA270" w14:textId="77777777" w:rsidR="00D104AE" w:rsidRPr="003E3AF2" w:rsidRDefault="00D104AE" w:rsidP="006C4F3B">
      <w:pPr>
        <w:pStyle w:val="Tekstpodstawowy"/>
        <w:spacing w:line="360" w:lineRule="auto"/>
        <w:ind w:left="144"/>
        <w:jc w:val="left"/>
        <w:rPr>
          <w:rFonts w:ascii="Times New Roman" w:hAnsi="Times New Roman" w:cs="Times New Roman"/>
          <w:lang w:val="en-US"/>
        </w:rPr>
      </w:pPr>
    </w:p>
    <w:p w14:paraId="39DA4BAD" w14:textId="77777777" w:rsidR="007E1395" w:rsidRPr="007E1395" w:rsidRDefault="007E1395" w:rsidP="007E1395">
      <w:pPr>
        <w:pStyle w:val="NormalnyWeb"/>
        <w:spacing w:before="0" w:beforeAutospacing="0" w:after="0" w:afterAutospacing="0" w:line="420" w:lineRule="atLeast"/>
        <w:jc w:val="both"/>
        <w:rPr>
          <w:b/>
          <w:lang w:val="en-US"/>
        </w:rPr>
      </w:pPr>
      <w:r w:rsidRPr="007E1395">
        <w:rPr>
          <w:b/>
          <w:lang w:val="en-US"/>
        </w:rPr>
        <w:t>2. Materials and Methods</w:t>
      </w:r>
    </w:p>
    <w:p w14:paraId="0695ED0A" w14:textId="77777777" w:rsidR="007E1395" w:rsidRPr="007E1395" w:rsidRDefault="007E1395" w:rsidP="007E1395">
      <w:pPr>
        <w:pStyle w:val="NormalnyWeb"/>
        <w:spacing w:before="0" w:beforeAutospacing="0" w:after="0" w:afterAutospacing="0" w:line="420" w:lineRule="atLeast"/>
        <w:jc w:val="both"/>
        <w:rPr>
          <w:b/>
          <w:lang w:val="en-US"/>
        </w:rPr>
      </w:pPr>
      <w:r w:rsidRPr="007E1395">
        <w:rPr>
          <w:b/>
          <w:lang w:val="en-US"/>
        </w:rPr>
        <w:t>3. Results</w:t>
      </w:r>
    </w:p>
    <w:p w14:paraId="40B34D28" w14:textId="77777777" w:rsidR="007E1395" w:rsidRPr="007E1395" w:rsidRDefault="007E1395" w:rsidP="007E1395">
      <w:pPr>
        <w:pStyle w:val="NormalnyWeb"/>
        <w:spacing w:before="0" w:beforeAutospacing="0" w:after="0" w:afterAutospacing="0" w:line="420" w:lineRule="atLeast"/>
        <w:jc w:val="both"/>
        <w:rPr>
          <w:b/>
          <w:lang w:val="en-US"/>
        </w:rPr>
      </w:pPr>
      <w:r w:rsidRPr="007E1395">
        <w:rPr>
          <w:b/>
          <w:lang w:val="en-US"/>
        </w:rPr>
        <w:t>4. Discussion</w:t>
      </w:r>
    </w:p>
    <w:p w14:paraId="39A3DE09" w14:textId="77777777" w:rsidR="007E1395" w:rsidRPr="007E1395" w:rsidRDefault="007E1395" w:rsidP="007E1395">
      <w:pPr>
        <w:pStyle w:val="NormalnyWeb"/>
        <w:spacing w:before="0" w:beforeAutospacing="0" w:after="0" w:afterAutospacing="0" w:line="420" w:lineRule="atLeast"/>
        <w:jc w:val="both"/>
        <w:rPr>
          <w:b/>
          <w:lang w:val="en-US"/>
        </w:rPr>
      </w:pPr>
      <w:r w:rsidRPr="007E1395">
        <w:rPr>
          <w:b/>
          <w:lang w:val="en-US"/>
        </w:rPr>
        <w:t>5. Conclusions/Summary</w:t>
      </w:r>
    </w:p>
    <w:p w14:paraId="5E89C553" w14:textId="77777777" w:rsidR="007E1395" w:rsidRPr="00BB4CB6" w:rsidRDefault="007E1395" w:rsidP="007E1395">
      <w:pPr>
        <w:pStyle w:val="NormalnyWeb"/>
        <w:spacing w:before="0" w:beforeAutospacing="0" w:after="0" w:afterAutospacing="0" w:line="420" w:lineRule="atLeast"/>
        <w:jc w:val="both"/>
        <w:rPr>
          <w:b/>
          <w:lang w:val="en-US"/>
        </w:rPr>
      </w:pPr>
      <w:r w:rsidRPr="00BB4CB6">
        <w:rPr>
          <w:b/>
          <w:lang w:val="en-US"/>
        </w:rPr>
        <w:t>6. References</w:t>
      </w:r>
    </w:p>
    <w:p w14:paraId="6663FAFC" w14:textId="77777777" w:rsidR="007E1395" w:rsidRPr="00BB4CB6" w:rsidRDefault="007E1395" w:rsidP="007E1395">
      <w:pPr>
        <w:pStyle w:val="NormalnyWeb"/>
        <w:spacing w:before="0" w:beforeAutospacing="0" w:after="0" w:afterAutospacing="0" w:line="420" w:lineRule="atLeast"/>
        <w:jc w:val="both"/>
        <w:rPr>
          <w:b/>
          <w:lang w:val="en-US"/>
        </w:rPr>
      </w:pPr>
    </w:p>
    <w:p w14:paraId="24A07CBA" w14:textId="77777777" w:rsidR="007E1395" w:rsidRPr="009F2D1F" w:rsidRDefault="007E1395" w:rsidP="007E1395">
      <w:pPr>
        <w:pStyle w:val="NormalnyWeb"/>
        <w:spacing w:after="450" w:line="420" w:lineRule="atLeast"/>
        <w:jc w:val="both"/>
        <w:rPr>
          <w:sz w:val="18"/>
          <w:lang w:val="en-US"/>
        </w:rPr>
      </w:pPr>
      <w:r w:rsidRPr="009F2D1F">
        <w:rPr>
          <w:sz w:val="18"/>
          <w:lang w:val="en-US"/>
        </w:rPr>
        <w:t>References – Font: 9 pt, justified.</w:t>
      </w:r>
    </w:p>
    <w:p w14:paraId="3BDDA39E"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Bibliographic entries should be listed alphabetically by the first author's surname. If multiple articles by the same author appear, arrange them chronologically. Do not divide sources by type of publication. Use original sources. The majority of references should be from the last ten years.</w:t>
      </w:r>
    </w:p>
    <w:p w14:paraId="40DAB925"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Cite references in-text using author name and year, e.g., [Kowalski 2015]. For two authors: [Kowalski and Nowak 2015], for more: [Kowalski et al. 2015].</w:t>
      </w:r>
    </w:p>
    <w:p w14:paraId="21FD84A1" w14:textId="77777777" w:rsid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Each entry in the reference list should be numbered in square brackets, and the text should</w:t>
      </w:r>
      <w:r>
        <w:rPr>
          <w:sz w:val="18"/>
          <w:szCs w:val="18"/>
          <w:lang w:val="en-US"/>
        </w:rPr>
        <w:t xml:space="preserve"> cite them using these numbers. </w:t>
      </w:r>
      <w:r w:rsidRPr="007E1395">
        <w:rPr>
          <w:sz w:val="18"/>
          <w:szCs w:val="18"/>
          <w:lang w:val="en-US"/>
        </w:rPr>
        <w:t>The reference list should include no more than 30 key items, mainly from the last decade. Use official journal title abbreviations.</w:t>
      </w:r>
    </w:p>
    <w:p w14:paraId="15D5D335" w14:textId="77777777" w:rsidR="0060737C" w:rsidRPr="007E1395" w:rsidRDefault="0060737C" w:rsidP="007E1395">
      <w:pPr>
        <w:pStyle w:val="NormalnyWeb"/>
        <w:spacing w:before="0" w:beforeAutospacing="0" w:after="0" w:afterAutospacing="0" w:line="360" w:lineRule="auto"/>
        <w:jc w:val="both"/>
        <w:rPr>
          <w:sz w:val="18"/>
          <w:szCs w:val="18"/>
          <w:lang w:val="en-US"/>
        </w:rPr>
      </w:pPr>
    </w:p>
    <w:p w14:paraId="47144D01" w14:textId="77777777" w:rsidR="007E1395" w:rsidRPr="007E1395" w:rsidRDefault="007E1395" w:rsidP="007E1395">
      <w:pPr>
        <w:pStyle w:val="NormalnyWeb"/>
        <w:spacing w:before="0" w:beforeAutospacing="0" w:after="0" w:afterAutospacing="0" w:line="360" w:lineRule="auto"/>
        <w:jc w:val="both"/>
        <w:rPr>
          <w:sz w:val="18"/>
          <w:szCs w:val="18"/>
          <w:lang w:val="en-US"/>
        </w:rPr>
      </w:pPr>
    </w:p>
    <w:p w14:paraId="70DAF467" w14:textId="77777777" w:rsidR="007E1395" w:rsidRPr="0060737C"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lastRenderedPageBreak/>
        <w:t>Examples of bibliography formats:</w:t>
      </w:r>
    </w:p>
    <w:p w14:paraId="1ADF19D8" w14:textId="77777777" w:rsidR="0060737C" w:rsidRPr="007E1395" w:rsidRDefault="0060737C" w:rsidP="007E1395">
      <w:pPr>
        <w:pStyle w:val="NormalnyWeb"/>
        <w:spacing w:before="0" w:beforeAutospacing="0" w:after="0" w:afterAutospacing="0" w:line="360" w:lineRule="auto"/>
        <w:jc w:val="both"/>
        <w:rPr>
          <w:sz w:val="18"/>
          <w:szCs w:val="18"/>
          <w:lang w:val="en-US"/>
        </w:rPr>
      </w:pPr>
    </w:p>
    <w:p w14:paraId="7BEF21D9" w14:textId="77777777" w:rsidR="007E1395" w:rsidRPr="0060737C"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t>Journal Articles</w:t>
      </w:r>
    </w:p>
    <w:p w14:paraId="1FF26C62"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 xml:space="preserve">[1] Dziuba J., </w:t>
      </w:r>
      <w:proofErr w:type="spellStart"/>
      <w:r w:rsidRPr="007E1395">
        <w:rPr>
          <w:sz w:val="18"/>
          <w:szCs w:val="18"/>
          <w:lang w:val="en-US"/>
        </w:rPr>
        <w:t>Szerszunowicz</w:t>
      </w:r>
      <w:proofErr w:type="spellEnd"/>
      <w:r w:rsidRPr="007E1395">
        <w:rPr>
          <w:sz w:val="18"/>
          <w:szCs w:val="18"/>
          <w:lang w:val="en-US"/>
        </w:rPr>
        <w:t xml:space="preserve"> I., </w:t>
      </w:r>
      <w:proofErr w:type="spellStart"/>
      <w:r w:rsidRPr="007E1395">
        <w:rPr>
          <w:sz w:val="18"/>
          <w:szCs w:val="18"/>
          <w:lang w:val="en-US"/>
        </w:rPr>
        <w:t>Nałęcz</w:t>
      </w:r>
      <w:proofErr w:type="spellEnd"/>
      <w:r w:rsidRPr="007E1395">
        <w:rPr>
          <w:sz w:val="18"/>
          <w:szCs w:val="18"/>
          <w:lang w:val="en-US"/>
        </w:rPr>
        <w:t xml:space="preserve"> D., Dziuba M.: Proteomic analysis of albumin and globulin fractions in pea seeds (Pisum sativum L.). Acta Sci. Pol., Technol. Aliment., 2014, 2 (13), 181–190.</w:t>
      </w:r>
    </w:p>
    <w:p w14:paraId="3234AA78"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[2] Kowalski S., Łukasiewicz M.: Impact of baking conditions on formation of selected furan derivatives and antioxidant potential changes in shortbread cookies. Food. Science. Technology. Quality, 2014, 1 (92), 187–199.</w:t>
      </w:r>
    </w:p>
    <w:p w14:paraId="297C8048" w14:textId="77777777" w:rsidR="007E1395" w:rsidRPr="007E1395" w:rsidRDefault="007E1395" w:rsidP="007E1395">
      <w:pPr>
        <w:pStyle w:val="NormalnyWeb"/>
        <w:spacing w:before="0" w:beforeAutospacing="0" w:after="0" w:afterAutospacing="0" w:line="360" w:lineRule="auto"/>
        <w:jc w:val="both"/>
        <w:rPr>
          <w:sz w:val="18"/>
          <w:szCs w:val="18"/>
          <w:lang w:val="en-US"/>
        </w:rPr>
      </w:pPr>
    </w:p>
    <w:p w14:paraId="285216F6" w14:textId="77777777" w:rsidR="007E1395" w:rsidRPr="0060737C"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t>Monographs</w:t>
      </w:r>
    </w:p>
    <w:p w14:paraId="704795CF"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 xml:space="preserve">[1] Asatiani M.D., </w:t>
      </w:r>
      <w:proofErr w:type="spellStart"/>
      <w:r w:rsidRPr="007E1395">
        <w:rPr>
          <w:sz w:val="18"/>
          <w:szCs w:val="18"/>
          <w:lang w:val="en-US"/>
        </w:rPr>
        <w:t>Elisashvili</w:t>
      </w:r>
      <w:proofErr w:type="spellEnd"/>
      <w:r w:rsidRPr="007E1395">
        <w:rPr>
          <w:sz w:val="18"/>
          <w:szCs w:val="18"/>
          <w:lang w:val="en-US"/>
        </w:rPr>
        <w:t xml:space="preserve"> V., </w:t>
      </w:r>
      <w:proofErr w:type="spellStart"/>
      <w:r w:rsidRPr="007E1395">
        <w:rPr>
          <w:sz w:val="18"/>
          <w:szCs w:val="18"/>
          <w:lang w:val="en-US"/>
        </w:rPr>
        <w:t>Songulashvili</w:t>
      </w:r>
      <w:proofErr w:type="spellEnd"/>
      <w:r w:rsidRPr="007E1395">
        <w:rPr>
          <w:sz w:val="18"/>
          <w:szCs w:val="18"/>
          <w:lang w:val="en-US"/>
        </w:rPr>
        <w:t xml:space="preserve"> G., Reznick A.Z., Wasser S.P.: Higher Basidiomycetes mushrooms as a source of antioxidants. In: Progress in Mycology. Eds. M. Rai, G. Kovics. Scientific Publishers India, 2010, pp. 311–326.</w:t>
      </w:r>
    </w:p>
    <w:p w14:paraId="054B1A1E"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 xml:space="preserve">[2] Bari M.L., </w:t>
      </w:r>
      <w:proofErr w:type="spellStart"/>
      <w:r w:rsidRPr="007E1395">
        <w:rPr>
          <w:sz w:val="18"/>
          <w:szCs w:val="18"/>
          <w:lang w:val="en-US"/>
        </w:rPr>
        <w:t>Ukuku</w:t>
      </w:r>
      <w:proofErr w:type="spellEnd"/>
      <w:r w:rsidRPr="007E1395">
        <w:rPr>
          <w:sz w:val="18"/>
          <w:szCs w:val="18"/>
          <w:lang w:val="en-US"/>
        </w:rPr>
        <w:t xml:space="preserve"> D.O.: Foodborne Pathogens and Food Safety. CRC Press, Boca Raton, USA, 2015.</w:t>
      </w:r>
    </w:p>
    <w:p w14:paraId="2D35A460"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 xml:space="preserve">[3] </w:t>
      </w:r>
      <w:proofErr w:type="spellStart"/>
      <w:r w:rsidRPr="007E1395">
        <w:rPr>
          <w:sz w:val="18"/>
          <w:szCs w:val="18"/>
          <w:lang w:val="en-US"/>
        </w:rPr>
        <w:t>Baryłko-Pikielna</w:t>
      </w:r>
      <w:proofErr w:type="spellEnd"/>
      <w:r w:rsidRPr="007E1395">
        <w:rPr>
          <w:sz w:val="18"/>
          <w:szCs w:val="18"/>
          <w:lang w:val="en-US"/>
        </w:rPr>
        <w:t xml:space="preserve"> N., Matuszewska I.: Sensory analysis of food. Basics. Methods. Applications. 2nd ed., PTTŻ Scientific Publ., Kraków, 2014.</w:t>
      </w:r>
    </w:p>
    <w:p w14:paraId="7DEFC88B" w14:textId="77777777" w:rsidR="007E1395" w:rsidRPr="007E1395" w:rsidRDefault="007E1395" w:rsidP="007E1395">
      <w:pPr>
        <w:pStyle w:val="NormalnyWeb"/>
        <w:spacing w:before="0" w:beforeAutospacing="0" w:after="0" w:afterAutospacing="0" w:line="360" w:lineRule="auto"/>
        <w:jc w:val="both"/>
        <w:rPr>
          <w:sz w:val="18"/>
          <w:szCs w:val="18"/>
          <w:lang w:val="en-US"/>
        </w:rPr>
      </w:pPr>
    </w:p>
    <w:p w14:paraId="72ED7C3F" w14:textId="77777777" w:rsidR="007E1395" w:rsidRPr="0060737C"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t>Standards</w:t>
      </w:r>
    </w:p>
    <w:p w14:paraId="1BC4718D"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[1] PN-EN ISO 8586-2:2008. Sensory analysis – General guidelines for the selection, training, and monitoring of assessors – Part 2: Experts.</w:t>
      </w:r>
    </w:p>
    <w:p w14:paraId="5A450104"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[2] PN-ISO 2446:2010. Milk – Determination of fat content.</w:t>
      </w:r>
    </w:p>
    <w:p w14:paraId="2444EBA5" w14:textId="77777777" w:rsidR="007E1395" w:rsidRPr="007E1395" w:rsidRDefault="007E1395" w:rsidP="007E1395">
      <w:pPr>
        <w:pStyle w:val="NormalnyWeb"/>
        <w:spacing w:before="0" w:beforeAutospacing="0" w:after="0" w:afterAutospacing="0" w:line="360" w:lineRule="auto"/>
        <w:jc w:val="both"/>
        <w:rPr>
          <w:sz w:val="18"/>
          <w:szCs w:val="18"/>
          <w:lang w:val="en-US"/>
        </w:rPr>
      </w:pPr>
    </w:p>
    <w:p w14:paraId="0310CFB8" w14:textId="77777777" w:rsidR="007E1395" w:rsidRPr="0060737C"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t>Conference materials, legislation, patents, websites</w:t>
      </w:r>
    </w:p>
    <w:p w14:paraId="36FD70DA"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 xml:space="preserve">[1] Grudzińska M., </w:t>
      </w:r>
      <w:proofErr w:type="spellStart"/>
      <w:r w:rsidRPr="007E1395">
        <w:rPr>
          <w:sz w:val="18"/>
          <w:szCs w:val="18"/>
          <w:lang w:val="en-US"/>
        </w:rPr>
        <w:t>Zgórska</w:t>
      </w:r>
      <w:proofErr w:type="spellEnd"/>
      <w:r w:rsidRPr="007E1395">
        <w:rPr>
          <w:sz w:val="18"/>
          <w:szCs w:val="18"/>
          <w:lang w:val="en-US"/>
        </w:rPr>
        <w:t xml:space="preserve"> K., </w:t>
      </w:r>
      <w:proofErr w:type="spellStart"/>
      <w:r w:rsidRPr="007E1395">
        <w:rPr>
          <w:sz w:val="18"/>
          <w:szCs w:val="18"/>
          <w:lang w:val="en-US"/>
        </w:rPr>
        <w:t>Czerko</w:t>
      </w:r>
      <w:proofErr w:type="spellEnd"/>
      <w:r w:rsidRPr="007E1395">
        <w:rPr>
          <w:sz w:val="18"/>
          <w:szCs w:val="18"/>
          <w:lang w:val="en-US"/>
        </w:rPr>
        <w:t xml:space="preserve"> Z.: Effect of CIPC and S(+) carvone on sprout inhibition and quality of potato tubers during storage. 18th Triennial Conf. of the European Association for Potato Research, Oulu, Finland, July 24–29, 2011, pp. 225–235.</w:t>
      </w:r>
    </w:p>
    <w:p w14:paraId="33DF3F14"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[2] Regulation of the Minister of Health of 23 December 2010 on specifications and purity criteria of food additives. Official Journal 2011, No. 2, item 3.</w:t>
      </w:r>
    </w:p>
    <w:p w14:paraId="1683B19E"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[3] Regulation (EC) No 852/2004 of the European Parliament and of the Council on the hygiene of foodstuffs. OJ L 139, p. 1, 30.04.2004 as amended.</w:t>
      </w:r>
    </w:p>
    <w:p w14:paraId="5541BB96"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[4] Act of 25 August 2006 on food and nutrition safety. Official Journal 2006, No. 171, item 1225. Consolidated text: OJ 2015, item 594.</w:t>
      </w:r>
    </w:p>
    <w:p w14:paraId="55C64461"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[5] Shih J.C.H., Xiang Lin, Miller E.S.: DNA encoding Bacillus licheniformis PWD-1 Keratinase. USA. Patent US 1998, 5.712.147.</w:t>
      </w:r>
    </w:p>
    <w:p w14:paraId="323A23BE"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[6] Epidemiological bulletins. [online]. PZH. Accessed: 6.08.2014. http://www.pzh.gov.pl/oldpage/epimeld/index_p.html</w:t>
      </w:r>
    </w:p>
    <w:p w14:paraId="7B79F614" w14:textId="77777777" w:rsidR="007E1395" w:rsidRPr="007E1395" w:rsidRDefault="007E1395" w:rsidP="007E1395">
      <w:pPr>
        <w:pStyle w:val="NormalnyWeb"/>
        <w:spacing w:before="0" w:beforeAutospacing="0" w:after="0" w:afterAutospacing="0" w:line="360" w:lineRule="auto"/>
        <w:jc w:val="both"/>
        <w:rPr>
          <w:sz w:val="18"/>
          <w:szCs w:val="18"/>
          <w:lang w:val="en-US"/>
        </w:rPr>
      </w:pPr>
    </w:p>
    <w:p w14:paraId="10E2571A" w14:textId="77777777" w:rsidR="009F2D1F" w:rsidRDefault="009F2D1F" w:rsidP="007E1395">
      <w:pPr>
        <w:pStyle w:val="NormalnyWeb"/>
        <w:spacing w:before="0" w:beforeAutospacing="0" w:after="0" w:afterAutospacing="0" w:line="360" w:lineRule="auto"/>
        <w:jc w:val="both"/>
        <w:rPr>
          <w:sz w:val="18"/>
          <w:szCs w:val="18"/>
          <w:lang w:val="en-US"/>
        </w:rPr>
      </w:pPr>
    </w:p>
    <w:p w14:paraId="56344168" w14:textId="77777777" w:rsidR="007E1395" w:rsidRDefault="007E1395" w:rsidP="007E1395">
      <w:pPr>
        <w:pStyle w:val="NormalnyWeb"/>
        <w:spacing w:before="0" w:beforeAutospacing="0" w:after="0" w:afterAutospacing="0" w:line="360" w:lineRule="auto"/>
        <w:jc w:val="both"/>
        <w:rPr>
          <w:b/>
          <w:sz w:val="18"/>
          <w:szCs w:val="18"/>
          <w:lang w:val="en-US"/>
        </w:rPr>
      </w:pPr>
      <w:r w:rsidRPr="0060737C">
        <w:rPr>
          <w:b/>
          <w:sz w:val="18"/>
          <w:szCs w:val="18"/>
          <w:lang w:val="en-US"/>
        </w:rPr>
        <w:t>Tables / Charts / Figures Requirements</w:t>
      </w:r>
    </w:p>
    <w:p w14:paraId="2DBE1F21" w14:textId="77777777" w:rsidR="0060737C" w:rsidRPr="0060737C" w:rsidRDefault="0060737C" w:rsidP="007E1395">
      <w:pPr>
        <w:pStyle w:val="NormalnyWeb"/>
        <w:spacing w:before="0" w:beforeAutospacing="0" w:after="0" w:afterAutospacing="0" w:line="360" w:lineRule="auto"/>
        <w:jc w:val="both"/>
        <w:rPr>
          <w:b/>
          <w:sz w:val="18"/>
          <w:szCs w:val="18"/>
          <w:lang w:val="en-US"/>
        </w:rPr>
      </w:pPr>
    </w:p>
    <w:p w14:paraId="71BD017D"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Tables, figures, and photographs must be numbered and embedded in the manuscript. Their order of appearance must correspond to their order of citation in the text.</w:t>
      </w:r>
    </w:p>
    <w:p w14:paraId="7AEF03B4"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Original files (e.g., Excel) should be submitted separately. Tables and figures must be clear and self-explanatory without</w:t>
      </w:r>
      <w:r>
        <w:rPr>
          <w:sz w:val="18"/>
          <w:szCs w:val="18"/>
          <w:lang w:val="en-US"/>
        </w:rPr>
        <w:t xml:space="preserve"> the need to refer to the text. </w:t>
      </w:r>
      <w:r w:rsidRPr="007E1395">
        <w:rPr>
          <w:sz w:val="18"/>
          <w:szCs w:val="18"/>
          <w:lang w:val="en-US"/>
        </w:rPr>
        <w:t>Do not duplicate</w:t>
      </w:r>
      <w:r>
        <w:rPr>
          <w:sz w:val="18"/>
          <w:szCs w:val="18"/>
          <w:lang w:val="en-US"/>
        </w:rPr>
        <w:t xml:space="preserve"> data across tables and charts. </w:t>
      </w:r>
      <w:r w:rsidRPr="007E1395">
        <w:rPr>
          <w:sz w:val="18"/>
          <w:szCs w:val="18"/>
          <w:lang w:val="en-US"/>
        </w:rPr>
        <w:t>Font: TNR</w:t>
      </w:r>
    </w:p>
    <w:p w14:paraId="3E6E14CA" w14:textId="77777777" w:rsidR="007E1395" w:rsidRPr="007E1395" w:rsidRDefault="007E1395" w:rsidP="007E1395">
      <w:pPr>
        <w:pStyle w:val="NormalnyWeb"/>
        <w:spacing w:before="0" w:beforeAutospacing="0" w:after="0" w:afterAutospacing="0" w:line="360" w:lineRule="auto"/>
        <w:jc w:val="both"/>
        <w:rPr>
          <w:sz w:val="18"/>
          <w:szCs w:val="18"/>
          <w:lang w:val="en-US"/>
        </w:rPr>
      </w:pPr>
      <w:r w:rsidRPr="007E1395">
        <w:rPr>
          <w:sz w:val="18"/>
          <w:szCs w:val="18"/>
          <w:lang w:val="en-US"/>
        </w:rPr>
        <w:t>Table titles above the table, max</w:t>
      </w:r>
      <w:r>
        <w:rPr>
          <w:sz w:val="18"/>
          <w:szCs w:val="18"/>
          <w:lang w:val="en-US"/>
        </w:rPr>
        <w:t xml:space="preserve"> 9 pt font, no bold or italics. </w:t>
      </w:r>
      <w:r w:rsidRPr="007E1395">
        <w:rPr>
          <w:sz w:val="18"/>
          <w:szCs w:val="18"/>
          <w:lang w:val="en-US"/>
        </w:rPr>
        <w:t>Figure</w:t>
      </w:r>
      <w:r>
        <w:rPr>
          <w:sz w:val="18"/>
          <w:szCs w:val="18"/>
          <w:lang w:val="en-US"/>
        </w:rPr>
        <w:t xml:space="preserve"> titles below the figure, 9 pt. </w:t>
      </w:r>
      <w:r w:rsidRPr="007E1395">
        <w:rPr>
          <w:sz w:val="18"/>
          <w:szCs w:val="18"/>
          <w:lang w:val="en-US"/>
        </w:rPr>
        <w:t>Italics are reserved for Latin b</w:t>
      </w:r>
      <w:r>
        <w:rPr>
          <w:sz w:val="18"/>
          <w:szCs w:val="18"/>
          <w:lang w:val="en-US"/>
        </w:rPr>
        <w:t xml:space="preserve">iological names or subheadings. </w:t>
      </w:r>
      <w:r w:rsidRPr="007E1395">
        <w:rPr>
          <w:sz w:val="18"/>
          <w:szCs w:val="18"/>
          <w:lang w:val="en-US"/>
        </w:rPr>
        <w:t>Statistical tables must include explanations</w:t>
      </w:r>
      <w:r>
        <w:rPr>
          <w:sz w:val="18"/>
          <w:szCs w:val="18"/>
          <w:lang w:val="en-US"/>
        </w:rPr>
        <w:t xml:space="preserve"> (e.g., number of samples – n). </w:t>
      </w:r>
      <w:r w:rsidRPr="007E1395">
        <w:rPr>
          <w:sz w:val="18"/>
          <w:szCs w:val="18"/>
          <w:lang w:val="en-US"/>
        </w:rPr>
        <w:t>Photographs and charts created in other programs must be high quality: .</w:t>
      </w:r>
      <w:proofErr w:type="spellStart"/>
      <w:r w:rsidRPr="007E1395">
        <w:rPr>
          <w:sz w:val="18"/>
          <w:szCs w:val="18"/>
          <w:lang w:val="en-US"/>
        </w:rPr>
        <w:t>tif</w:t>
      </w:r>
      <w:proofErr w:type="spellEnd"/>
      <w:r w:rsidRPr="007E1395">
        <w:rPr>
          <w:sz w:val="18"/>
          <w:szCs w:val="18"/>
          <w:lang w:val="en-US"/>
        </w:rPr>
        <w:t xml:space="preserve"> or .jpg form</w:t>
      </w:r>
      <w:r>
        <w:rPr>
          <w:sz w:val="18"/>
          <w:szCs w:val="18"/>
          <w:lang w:val="en-US"/>
        </w:rPr>
        <w:t xml:space="preserve">at, minimum 300 dpi resolution. </w:t>
      </w:r>
      <w:r w:rsidRPr="007E1395">
        <w:rPr>
          <w:sz w:val="18"/>
          <w:szCs w:val="18"/>
          <w:lang w:val="en-US"/>
        </w:rPr>
        <w:t>If using copyrighted material (tables, figures, photos, etc.) from other sources, written permission must be obtained and submitted to the publi</w:t>
      </w:r>
      <w:r>
        <w:rPr>
          <w:sz w:val="18"/>
          <w:szCs w:val="18"/>
          <w:lang w:val="en-US"/>
        </w:rPr>
        <w:t xml:space="preserve">sher. </w:t>
      </w:r>
      <w:r w:rsidRPr="007E1395">
        <w:rPr>
          <w:sz w:val="18"/>
          <w:szCs w:val="18"/>
          <w:lang w:val="en-US"/>
        </w:rPr>
        <w:t>In studies involving animals, the methodology section must include a statement on obtaining bioethical committee approval.</w:t>
      </w:r>
    </w:p>
    <w:p w14:paraId="202061BA" w14:textId="77777777" w:rsidR="003E3AF2" w:rsidRPr="003E3AF2" w:rsidRDefault="003E3AF2" w:rsidP="003E3AF2">
      <w:pPr>
        <w:pStyle w:val="NormalnyWeb"/>
        <w:spacing w:after="450" w:line="420" w:lineRule="atLeast"/>
        <w:jc w:val="both"/>
        <w:rPr>
          <w:lang w:val="en-US"/>
        </w:rPr>
      </w:pPr>
    </w:p>
    <w:p w14:paraId="1551D5F8" w14:textId="77777777" w:rsidR="003E3AF2" w:rsidRPr="003E3AF2" w:rsidRDefault="003E3AF2" w:rsidP="003E3AF2">
      <w:pPr>
        <w:pStyle w:val="NormalnyWeb"/>
        <w:spacing w:after="450" w:line="420" w:lineRule="atLeast"/>
        <w:jc w:val="both"/>
        <w:rPr>
          <w:lang w:val="en-US"/>
        </w:rPr>
      </w:pPr>
    </w:p>
    <w:p w14:paraId="7F8A43D0" w14:textId="77777777" w:rsidR="003E3AF2" w:rsidRPr="003E3AF2" w:rsidRDefault="003E3AF2" w:rsidP="003E3AF2">
      <w:pPr>
        <w:pStyle w:val="NormalnyWeb"/>
        <w:spacing w:after="450" w:line="420" w:lineRule="atLeast"/>
        <w:jc w:val="both"/>
        <w:rPr>
          <w:lang w:val="en-US"/>
        </w:rPr>
      </w:pPr>
    </w:p>
    <w:sectPr w:rsidR="003E3AF2" w:rsidRPr="003E3AF2" w:rsidSect="00C50DB5">
      <w:headerReference w:type="default" r:id="rId8"/>
      <w:pgSz w:w="11906" w:h="16838"/>
      <w:pgMar w:top="2835" w:right="2126" w:bottom="2835"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9F97" w14:textId="77777777" w:rsidR="00F405EC" w:rsidRDefault="00F405EC" w:rsidP="00BA368F">
      <w:r>
        <w:separator/>
      </w:r>
    </w:p>
  </w:endnote>
  <w:endnote w:type="continuationSeparator" w:id="0">
    <w:p w14:paraId="179CD0E4" w14:textId="77777777" w:rsidR="00F405EC" w:rsidRDefault="00F405EC" w:rsidP="00B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6BDB" w14:textId="77777777" w:rsidR="00F405EC" w:rsidRDefault="00F405EC" w:rsidP="00BA368F">
      <w:r>
        <w:separator/>
      </w:r>
    </w:p>
  </w:footnote>
  <w:footnote w:type="continuationSeparator" w:id="0">
    <w:p w14:paraId="7A9BE597" w14:textId="77777777" w:rsidR="00F405EC" w:rsidRDefault="00F405EC" w:rsidP="00BA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6570" w14:textId="77777777" w:rsidR="007E1395" w:rsidRPr="007E1395" w:rsidRDefault="007E1395" w:rsidP="007E1395">
    <w:pPr>
      <w:pStyle w:val="Nagwek"/>
      <w:jc w:val="center"/>
      <w:rPr>
        <w:noProof/>
        <w:lang w:val="en-US"/>
      </w:rPr>
    </w:pPr>
    <w:r w:rsidRPr="007E1395">
      <w:rPr>
        <w:noProof/>
        <w:lang w:val="en-US"/>
      </w:rPr>
      <w:t>International Scientific Conference</w:t>
    </w:r>
  </w:p>
  <w:p w14:paraId="000E7972" w14:textId="77777777" w:rsidR="007E1395" w:rsidRPr="007E1395" w:rsidRDefault="007E1395" w:rsidP="007E1395">
    <w:pPr>
      <w:pStyle w:val="Nagwek"/>
      <w:jc w:val="center"/>
      <w:rPr>
        <w:noProof/>
        <w:lang w:val="en-US"/>
      </w:rPr>
    </w:pPr>
    <w:r w:rsidRPr="007E1395">
      <w:rPr>
        <w:noProof/>
        <w:lang w:val="en-US"/>
      </w:rPr>
      <w:t>20th Anniversary of the Faculty of Food Sciences and Biotechnology</w:t>
    </w:r>
  </w:p>
  <w:p w14:paraId="4655B25A" w14:textId="77777777" w:rsidR="007E1395" w:rsidRDefault="007E1395" w:rsidP="007E1395">
    <w:pPr>
      <w:pStyle w:val="Nagwek"/>
      <w:jc w:val="center"/>
      <w:rPr>
        <w:noProof/>
      </w:rPr>
    </w:pPr>
    <w:r>
      <w:rPr>
        <w:noProof/>
      </w:rPr>
      <w:t>23–24 September 2025, Lublin</w:t>
    </w:r>
  </w:p>
  <w:p w14:paraId="60A7F96A" w14:textId="77777777" w:rsidR="00BA368F" w:rsidRDefault="00BA36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816E0"/>
    <w:multiLevelType w:val="hybridMultilevel"/>
    <w:tmpl w:val="8480ACA2"/>
    <w:lvl w:ilvl="0" w:tplc="32A6677A">
      <w:start w:val="1"/>
      <w:numFmt w:val="decimal"/>
      <w:lvlText w:val="%1."/>
      <w:lvlJc w:val="left"/>
      <w:pPr>
        <w:ind w:left="427" w:hanging="284"/>
      </w:pPr>
      <w:rPr>
        <w:rFonts w:ascii="Calibri" w:eastAsia="Calibri" w:hAnsi="Calibri" w:cs="Calibri" w:hint="default"/>
        <w:b/>
        <w:bCs/>
        <w:i w:val="0"/>
        <w:iCs w:val="0"/>
        <w:spacing w:val="0"/>
        <w:w w:val="100"/>
        <w:sz w:val="22"/>
        <w:szCs w:val="22"/>
        <w:lang w:val="pl-PL" w:eastAsia="en-US" w:bidi="ar-SA"/>
      </w:rPr>
    </w:lvl>
    <w:lvl w:ilvl="1" w:tplc="2D326462">
      <w:numFmt w:val="bullet"/>
      <w:lvlText w:val="•"/>
      <w:lvlJc w:val="left"/>
      <w:pPr>
        <w:ind w:left="1228" w:hanging="284"/>
      </w:pPr>
      <w:rPr>
        <w:rFonts w:hint="default"/>
        <w:lang w:val="pl-PL" w:eastAsia="en-US" w:bidi="ar-SA"/>
      </w:rPr>
    </w:lvl>
    <w:lvl w:ilvl="2" w:tplc="87DA2838">
      <w:numFmt w:val="bullet"/>
      <w:lvlText w:val="•"/>
      <w:lvlJc w:val="left"/>
      <w:pPr>
        <w:ind w:left="2037" w:hanging="284"/>
      </w:pPr>
      <w:rPr>
        <w:rFonts w:hint="default"/>
        <w:lang w:val="pl-PL" w:eastAsia="en-US" w:bidi="ar-SA"/>
      </w:rPr>
    </w:lvl>
    <w:lvl w:ilvl="3" w:tplc="364A3A2E">
      <w:numFmt w:val="bullet"/>
      <w:lvlText w:val="•"/>
      <w:lvlJc w:val="left"/>
      <w:pPr>
        <w:ind w:left="2845" w:hanging="284"/>
      </w:pPr>
      <w:rPr>
        <w:rFonts w:hint="default"/>
        <w:lang w:val="pl-PL" w:eastAsia="en-US" w:bidi="ar-SA"/>
      </w:rPr>
    </w:lvl>
    <w:lvl w:ilvl="4" w:tplc="60D676B4">
      <w:numFmt w:val="bullet"/>
      <w:lvlText w:val="•"/>
      <w:lvlJc w:val="left"/>
      <w:pPr>
        <w:ind w:left="3654" w:hanging="284"/>
      </w:pPr>
      <w:rPr>
        <w:rFonts w:hint="default"/>
        <w:lang w:val="pl-PL" w:eastAsia="en-US" w:bidi="ar-SA"/>
      </w:rPr>
    </w:lvl>
    <w:lvl w:ilvl="5" w:tplc="5EE2A0A0">
      <w:numFmt w:val="bullet"/>
      <w:lvlText w:val="•"/>
      <w:lvlJc w:val="left"/>
      <w:pPr>
        <w:ind w:left="4462" w:hanging="284"/>
      </w:pPr>
      <w:rPr>
        <w:rFonts w:hint="default"/>
        <w:lang w:val="pl-PL" w:eastAsia="en-US" w:bidi="ar-SA"/>
      </w:rPr>
    </w:lvl>
    <w:lvl w:ilvl="6" w:tplc="B13CD7BC">
      <w:numFmt w:val="bullet"/>
      <w:lvlText w:val="•"/>
      <w:lvlJc w:val="left"/>
      <w:pPr>
        <w:ind w:left="5271" w:hanging="284"/>
      </w:pPr>
      <w:rPr>
        <w:rFonts w:hint="default"/>
        <w:lang w:val="pl-PL" w:eastAsia="en-US" w:bidi="ar-SA"/>
      </w:rPr>
    </w:lvl>
    <w:lvl w:ilvl="7" w:tplc="D1D21070">
      <w:numFmt w:val="bullet"/>
      <w:lvlText w:val="•"/>
      <w:lvlJc w:val="left"/>
      <w:pPr>
        <w:ind w:left="6079" w:hanging="284"/>
      </w:pPr>
      <w:rPr>
        <w:rFonts w:hint="default"/>
        <w:lang w:val="pl-PL" w:eastAsia="en-US" w:bidi="ar-SA"/>
      </w:rPr>
    </w:lvl>
    <w:lvl w:ilvl="8" w:tplc="08480B5E">
      <w:numFmt w:val="bullet"/>
      <w:lvlText w:val="•"/>
      <w:lvlJc w:val="left"/>
      <w:pPr>
        <w:ind w:left="6888" w:hanging="284"/>
      </w:pPr>
      <w:rPr>
        <w:rFonts w:hint="default"/>
        <w:lang w:val="pl-PL" w:eastAsia="en-US" w:bidi="ar-SA"/>
      </w:rPr>
    </w:lvl>
  </w:abstractNum>
  <w:abstractNum w:abstractNumId="1" w15:restartNumberingAfterBreak="0">
    <w:nsid w:val="54627AAC"/>
    <w:multiLevelType w:val="hybridMultilevel"/>
    <w:tmpl w:val="E3B41530"/>
    <w:lvl w:ilvl="0" w:tplc="2110E08C">
      <w:start w:val="1"/>
      <w:numFmt w:val="decimal"/>
      <w:lvlText w:val="%1"/>
      <w:lvlJc w:val="left"/>
      <w:pPr>
        <w:ind w:left="19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E58016DE">
      <w:start w:val="1"/>
      <w:numFmt w:val="lowerLetter"/>
      <w:lvlText w:val="%2"/>
      <w:lvlJc w:val="left"/>
      <w:pPr>
        <w:ind w:left="299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9C084E9E">
      <w:start w:val="1"/>
      <w:numFmt w:val="lowerRoman"/>
      <w:lvlText w:val="%3"/>
      <w:lvlJc w:val="left"/>
      <w:pPr>
        <w:ind w:left="371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5DB679AC">
      <w:start w:val="1"/>
      <w:numFmt w:val="decimal"/>
      <w:lvlText w:val="%4"/>
      <w:lvlJc w:val="left"/>
      <w:pPr>
        <w:ind w:left="443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3A0C4FEE">
      <w:start w:val="1"/>
      <w:numFmt w:val="lowerLetter"/>
      <w:lvlText w:val="%5"/>
      <w:lvlJc w:val="left"/>
      <w:pPr>
        <w:ind w:left="515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DA047E56">
      <w:start w:val="1"/>
      <w:numFmt w:val="lowerRoman"/>
      <w:lvlText w:val="%6"/>
      <w:lvlJc w:val="left"/>
      <w:pPr>
        <w:ind w:left="587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1B304D2C">
      <w:start w:val="1"/>
      <w:numFmt w:val="decimal"/>
      <w:lvlText w:val="%7"/>
      <w:lvlJc w:val="left"/>
      <w:pPr>
        <w:ind w:left="659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EBDE5C50">
      <w:start w:val="1"/>
      <w:numFmt w:val="lowerLetter"/>
      <w:lvlText w:val="%8"/>
      <w:lvlJc w:val="left"/>
      <w:pPr>
        <w:ind w:left="731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E7425446">
      <w:start w:val="1"/>
      <w:numFmt w:val="lowerRoman"/>
      <w:lvlText w:val="%9"/>
      <w:lvlJc w:val="left"/>
      <w:pPr>
        <w:ind w:left="803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num w:numId="1" w16cid:durableId="415514615">
    <w:abstractNumId w:val="0"/>
  </w:num>
  <w:num w:numId="2" w16cid:durableId="3696925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68F"/>
    <w:rsid w:val="000575B3"/>
    <w:rsid w:val="00152AFC"/>
    <w:rsid w:val="001F6F04"/>
    <w:rsid w:val="003D3615"/>
    <w:rsid w:val="003E3AF2"/>
    <w:rsid w:val="00407D35"/>
    <w:rsid w:val="0045024F"/>
    <w:rsid w:val="0060737C"/>
    <w:rsid w:val="006B50EB"/>
    <w:rsid w:val="006C4F3B"/>
    <w:rsid w:val="00732AC8"/>
    <w:rsid w:val="007428D2"/>
    <w:rsid w:val="00756BE1"/>
    <w:rsid w:val="007E1395"/>
    <w:rsid w:val="00856551"/>
    <w:rsid w:val="008917F4"/>
    <w:rsid w:val="00967DFD"/>
    <w:rsid w:val="009F1431"/>
    <w:rsid w:val="009F2D1F"/>
    <w:rsid w:val="00B0226E"/>
    <w:rsid w:val="00BA368F"/>
    <w:rsid w:val="00BB4CB6"/>
    <w:rsid w:val="00BC10FF"/>
    <w:rsid w:val="00C21D76"/>
    <w:rsid w:val="00C50DB5"/>
    <w:rsid w:val="00D104AE"/>
    <w:rsid w:val="00D4191B"/>
    <w:rsid w:val="00F405EC"/>
    <w:rsid w:val="00F85845"/>
    <w:rsid w:val="00F96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F678"/>
  <w15:chartTrackingRefBased/>
  <w15:docId w15:val="{77EB1DD6-BB15-4DAF-8951-51A7673F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368F"/>
    <w:pPr>
      <w:widowControl w:val="0"/>
      <w:autoSpaceDE w:val="0"/>
      <w:autoSpaceDN w:val="0"/>
      <w:spacing w:after="0" w:line="240" w:lineRule="auto"/>
    </w:pPr>
    <w:rPr>
      <w:rFonts w:ascii="Calibri" w:eastAsia="Calibri" w:hAnsi="Calibri" w:cs="Calibri"/>
    </w:rPr>
  </w:style>
  <w:style w:type="paragraph" w:styleId="Nagwek1">
    <w:name w:val="heading 1"/>
    <w:basedOn w:val="Normalny"/>
    <w:link w:val="Nagwek1Znak"/>
    <w:uiPriority w:val="1"/>
    <w:qFormat/>
    <w:rsid w:val="00BA368F"/>
    <w:pPr>
      <w:spacing w:before="206"/>
      <w:jc w:val="center"/>
      <w:outlineLvl w:val="0"/>
    </w:pPr>
    <w:rPr>
      <w:b/>
      <w:bCs/>
      <w:sz w:val="26"/>
      <w:szCs w:val="26"/>
    </w:rPr>
  </w:style>
  <w:style w:type="paragraph" w:styleId="Nagwek2">
    <w:name w:val="heading 2"/>
    <w:basedOn w:val="Normalny"/>
    <w:link w:val="Nagwek2Znak"/>
    <w:uiPriority w:val="1"/>
    <w:qFormat/>
    <w:rsid w:val="00BA368F"/>
    <w:pPr>
      <w:ind w:left="426" w:hanging="282"/>
      <w:jc w:val="both"/>
      <w:outlineLvl w:val="1"/>
    </w:pPr>
    <w:rPr>
      <w:b/>
      <w:bCs/>
    </w:rPr>
  </w:style>
  <w:style w:type="paragraph" w:styleId="Nagwek3">
    <w:name w:val="heading 3"/>
    <w:basedOn w:val="Normalny"/>
    <w:next w:val="Normalny"/>
    <w:link w:val="Nagwek3Znak"/>
    <w:uiPriority w:val="9"/>
    <w:semiHidden/>
    <w:unhideWhenUsed/>
    <w:qFormat/>
    <w:rsid w:val="003E3AF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3E3A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A368F"/>
    <w:rPr>
      <w:rFonts w:ascii="Calibri" w:eastAsia="Calibri" w:hAnsi="Calibri" w:cs="Calibri"/>
      <w:b/>
      <w:bCs/>
      <w:sz w:val="26"/>
      <w:szCs w:val="26"/>
    </w:rPr>
  </w:style>
  <w:style w:type="character" w:customStyle="1" w:styleId="Nagwek2Znak">
    <w:name w:val="Nagłówek 2 Znak"/>
    <w:basedOn w:val="Domylnaczcionkaakapitu"/>
    <w:link w:val="Nagwek2"/>
    <w:uiPriority w:val="1"/>
    <w:rsid w:val="00BA368F"/>
    <w:rPr>
      <w:rFonts w:ascii="Calibri" w:eastAsia="Calibri" w:hAnsi="Calibri" w:cs="Calibri"/>
      <w:b/>
      <w:bCs/>
    </w:rPr>
  </w:style>
  <w:style w:type="table" w:customStyle="1" w:styleId="TableNormal">
    <w:name w:val="Table Normal"/>
    <w:uiPriority w:val="2"/>
    <w:semiHidden/>
    <w:unhideWhenUsed/>
    <w:qFormat/>
    <w:rsid w:val="00BA3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BA368F"/>
    <w:pPr>
      <w:ind w:left="427"/>
      <w:jc w:val="both"/>
    </w:pPr>
  </w:style>
  <w:style w:type="character" w:customStyle="1" w:styleId="TekstpodstawowyZnak">
    <w:name w:val="Tekst podstawowy Znak"/>
    <w:basedOn w:val="Domylnaczcionkaakapitu"/>
    <w:link w:val="Tekstpodstawowy"/>
    <w:uiPriority w:val="1"/>
    <w:rsid w:val="00BA368F"/>
    <w:rPr>
      <w:rFonts w:ascii="Calibri" w:eastAsia="Calibri" w:hAnsi="Calibri" w:cs="Calibri"/>
    </w:rPr>
  </w:style>
  <w:style w:type="paragraph" w:styleId="Tytu">
    <w:name w:val="Title"/>
    <w:basedOn w:val="Normalny"/>
    <w:link w:val="TytuZnak"/>
    <w:uiPriority w:val="1"/>
    <w:qFormat/>
    <w:rsid w:val="00BA368F"/>
    <w:pPr>
      <w:ind w:right="278"/>
      <w:jc w:val="center"/>
    </w:pPr>
    <w:rPr>
      <w:b/>
      <w:bCs/>
      <w:sz w:val="48"/>
      <w:szCs w:val="48"/>
    </w:rPr>
  </w:style>
  <w:style w:type="character" w:customStyle="1" w:styleId="TytuZnak">
    <w:name w:val="Tytuł Znak"/>
    <w:basedOn w:val="Domylnaczcionkaakapitu"/>
    <w:link w:val="Tytu"/>
    <w:uiPriority w:val="1"/>
    <w:rsid w:val="00BA368F"/>
    <w:rPr>
      <w:rFonts w:ascii="Calibri" w:eastAsia="Calibri" w:hAnsi="Calibri" w:cs="Calibri"/>
      <w:b/>
      <w:bCs/>
      <w:sz w:val="48"/>
      <w:szCs w:val="48"/>
    </w:rPr>
  </w:style>
  <w:style w:type="paragraph" w:styleId="Akapitzlist">
    <w:name w:val="List Paragraph"/>
    <w:basedOn w:val="Normalny"/>
    <w:uiPriority w:val="1"/>
    <w:qFormat/>
    <w:rsid w:val="00BA368F"/>
    <w:pPr>
      <w:ind w:left="427" w:hanging="284"/>
      <w:jc w:val="both"/>
    </w:pPr>
  </w:style>
  <w:style w:type="paragraph" w:customStyle="1" w:styleId="TableParagraph">
    <w:name w:val="Table Paragraph"/>
    <w:basedOn w:val="Normalny"/>
    <w:uiPriority w:val="1"/>
    <w:qFormat/>
    <w:rsid w:val="00BA368F"/>
    <w:pPr>
      <w:jc w:val="center"/>
    </w:pPr>
  </w:style>
  <w:style w:type="paragraph" w:styleId="Nagwek">
    <w:name w:val="header"/>
    <w:basedOn w:val="Normalny"/>
    <w:link w:val="NagwekZnak"/>
    <w:uiPriority w:val="99"/>
    <w:unhideWhenUsed/>
    <w:rsid w:val="00BA368F"/>
    <w:pPr>
      <w:tabs>
        <w:tab w:val="center" w:pos="4536"/>
        <w:tab w:val="right" w:pos="9072"/>
      </w:tabs>
    </w:pPr>
  </w:style>
  <w:style w:type="character" w:customStyle="1" w:styleId="NagwekZnak">
    <w:name w:val="Nagłówek Znak"/>
    <w:basedOn w:val="Domylnaczcionkaakapitu"/>
    <w:link w:val="Nagwek"/>
    <w:uiPriority w:val="99"/>
    <w:rsid w:val="00BA368F"/>
    <w:rPr>
      <w:rFonts w:ascii="Calibri" w:eastAsia="Calibri" w:hAnsi="Calibri" w:cs="Calibri"/>
    </w:rPr>
  </w:style>
  <w:style w:type="paragraph" w:styleId="Stopka">
    <w:name w:val="footer"/>
    <w:basedOn w:val="Normalny"/>
    <w:link w:val="StopkaZnak"/>
    <w:uiPriority w:val="99"/>
    <w:unhideWhenUsed/>
    <w:rsid w:val="00BA368F"/>
    <w:pPr>
      <w:tabs>
        <w:tab w:val="center" w:pos="4536"/>
        <w:tab w:val="right" w:pos="9072"/>
      </w:tabs>
    </w:pPr>
  </w:style>
  <w:style w:type="character" w:customStyle="1" w:styleId="StopkaZnak">
    <w:name w:val="Stopka Znak"/>
    <w:basedOn w:val="Domylnaczcionkaakapitu"/>
    <w:link w:val="Stopka"/>
    <w:uiPriority w:val="99"/>
    <w:rsid w:val="00BA368F"/>
    <w:rPr>
      <w:rFonts w:ascii="Calibri" w:eastAsia="Calibri" w:hAnsi="Calibri" w:cs="Calibri"/>
    </w:rPr>
  </w:style>
  <w:style w:type="paragraph" w:styleId="NormalnyWeb">
    <w:name w:val="Normal (Web)"/>
    <w:basedOn w:val="Normalny"/>
    <w:uiPriority w:val="99"/>
    <w:unhideWhenUsed/>
    <w:rsid w:val="00D104A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04AE"/>
    <w:rPr>
      <w:b/>
      <w:bCs/>
    </w:rPr>
  </w:style>
  <w:style w:type="character" w:styleId="Uwydatnienie">
    <w:name w:val="Emphasis"/>
    <w:basedOn w:val="Domylnaczcionkaakapitu"/>
    <w:uiPriority w:val="20"/>
    <w:qFormat/>
    <w:rsid w:val="00D104AE"/>
    <w:rPr>
      <w:i/>
      <w:iCs/>
    </w:rPr>
  </w:style>
  <w:style w:type="character" w:styleId="Hipercze">
    <w:name w:val="Hyperlink"/>
    <w:basedOn w:val="Domylnaczcionkaakapitu"/>
    <w:uiPriority w:val="99"/>
    <w:unhideWhenUsed/>
    <w:rsid w:val="00BC10FF"/>
    <w:rPr>
      <w:color w:val="0563C1" w:themeColor="hyperlink"/>
      <w:u w:val="single"/>
    </w:rPr>
  </w:style>
  <w:style w:type="character" w:customStyle="1" w:styleId="Nagwek3Znak">
    <w:name w:val="Nagłówek 3 Znak"/>
    <w:basedOn w:val="Domylnaczcionkaakapitu"/>
    <w:link w:val="Nagwek3"/>
    <w:uiPriority w:val="9"/>
    <w:semiHidden/>
    <w:rsid w:val="003E3AF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3E3A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8179">
      <w:bodyDiv w:val="1"/>
      <w:marLeft w:val="0"/>
      <w:marRight w:val="0"/>
      <w:marTop w:val="0"/>
      <w:marBottom w:val="0"/>
      <w:divBdr>
        <w:top w:val="none" w:sz="0" w:space="0" w:color="auto"/>
        <w:left w:val="none" w:sz="0" w:space="0" w:color="auto"/>
        <w:bottom w:val="none" w:sz="0" w:space="0" w:color="auto"/>
        <w:right w:val="none" w:sz="0" w:space="0" w:color="auto"/>
      </w:divBdr>
    </w:div>
    <w:div w:id="243075944">
      <w:bodyDiv w:val="1"/>
      <w:marLeft w:val="0"/>
      <w:marRight w:val="0"/>
      <w:marTop w:val="0"/>
      <w:marBottom w:val="0"/>
      <w:divBdr>
        <w:top w:val="none" w:sz="0" w:space="0" w:color="auto"/>
        <w:left w:val="none" w:sz="0" w:space="0" w:color="auto"/>
        <w:bottom w:val="none" w:sz="0" w:space="0" w:color="auto"/>
        <w:right w:val="none" w:sz="0" w:space="0" w:color="auto"/>
      </w:divBdr>
    </w:div>
    <w:div w:id="319888128">
      <w:bodyDiv w:val="1"/>
      <w:marLeft w:val="0"/>
      <w:marRight w:val="0"/>
      <w:marTop w:val="0"/>
      <w:marBottom w:val="0"/>
      <w:divBdr>
        <w:top w:val="none" w:sz="0" w:space="0" w:color="auto"/>
        <w:left w:val="none" w:sz="0" w:space="0" w:color="auto"/>
        <w:bottom w:val="none" w:sz="0" w:space="0" w:color="auto"/>
        <w:right w:val="none" w:sz="0" w:space="0" w:color="auto"/>
      </w:divBdr>
    </w:div>
    <w:div w:id="769664518">
      <w:bodyDiv w:val="1"/>
      <w:marLeft w:val="0"/>
      <w:marRight w:val="0"/>
      <w:marTop w:val="0"/>
      <w:marBottom w:val="0"/>
      <w:divBdr>
        <w:top w:val="none" w:sz="0" w:space="0" w:color="auto"/>
        <w:left w:val="none" w:sz="0" w:space="0" w:color="auto"/>
        <w:bottom w:val="none" w:sz="0" w:space="0" w:color="auto"/>
        <w:right w:val="none" w:sz="0" w:space="0" w:color="auto"/>
      </w:divBdr>
    </w:div>
    <w:div w:id="1434130650">
      <w:bodyDiv w:val="1"/>
      <w:marLeft w:val="0"/>
      <w:marRight w:val="0"/>
      <w:marTop w:val="0"/>
      <w:marBottom w:val="0"/>
      <w:divBdr>
        <w:top w:val="none" w:sz="0" w:space="0" w:color="auto"/>
        <w:left w:val="none" w:sz="0" w:space="0" w:color="auto"/>
        <w:bottom w:val="none" w:sz="0" w:space="0" w:color="auto"/>
        <w:right w:val="none" w:sz="0" w:space="0" w:color="auto"/>
      </w:divBdr>
    </w:div>
    <w:div w:id="20831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F5E1-3D25-4429-9DA4-B0AAEBCD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5676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Monika Sujka</cp:lastModifiedBy>
  <cp:revision>2</cp:revision>
  <dcterms:created xsi:type="dcterms:W3CDTF">2025-05-19T09:22:00Z</dcterms:created>
  <dcterms:modified xsi:type="dcterms:W3CDTF">2025-05-19T09:22:00Z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e1c58760-6cd1-4626-aef9-5e8fd2a47f5f</vt:lpwstr>
  </property>
</Properties>
</file>