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36DF80DC" w:rsidR="00023A99" w:rsidRPr="00F02E5D" w:rsidRDefault="00657875" w:rsidP="004C0125">
            <w:r w:rsidRPr="00657875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0546BB68" w:rsidR="00023A99" w:rsidRPr="00F02E5D" w:rsidRDefault="00657875" w:rsidP="004C0125">
            <w:r w:rsidRPr="00657875">
              <w:t>Spółdzielczość wiejska</w:t>
            </w:r>
            <w:r>
              <w:t xml:space="preserve"> (</w:t>
            </w:r>
            <w:proofErr w:type="spellStart"/>
            <w:r w:rsidR="00933A5A">
              <w:t>R</w:t>
            </w:r>
            <w:r w:rsidRPr="00657875">
              <w:t>ural</w:t>
            </w:r>
            <w:proofErr w:type="spellEnd"/>
            <w:r w:rsidRPr="00657875">
              <w:t xml:space="preserve"> </w:t>
            </w:r>
            <w:proofErr w:type="spellStart"/>
            <w:r w:rsidRPr="00657875">
              <w:t>cooperatives</w:t>
            </w:r>
            <w:proofErr w:type="spellEnd"/>
            <w:r>
              <w:t>)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3E961E7D" w:rsidR="00023A99" w:rsidRPr="00F02E5D" w:rsidRDefault="00657875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201C6C0A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2F420AD7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7B32D506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1C12A6AD" w:rsidR="00023A99" w:rsidRPr="00F02E5D" w:rsidRDefault="00023A99" w:rsidP="004C0125">
            <w:r w:rsidRPr="00F02E5D">
              <w:t xml:space="preserve">II, 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5B425DBB" w:rsidR="00023A99" w:rsidRPr="00F02E5D" w:rsidRDefault="00023A99" w:rsidP="004C0125">
            <w:r w:rsidRPr="00F02E5D">
              <w:t>2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5720EE6C" w:rsidR="00023A99" w:rsidRPr="00B279D8" w:rsidRDefault="00B279D8" w:rsidP="004C0125">
            <w:r w:rsidRPr="00B279D8">
              <w:t xml:space="preserve">Dr hab. Monika </w:t>
            </w:r>
            <w:proofErr w:type="spellStart"/>
            <w:r w:rsidRPr="00B279D8">
              <w:t>Greguła</w:t>
            </w:r>
            <w:proofErr w:type="spellEnd"/>
            <w:r w:rsidRPr="00B279D8">
              <w:t>-Kania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140974B1" w:rsidR="00023A99" w:rsidRPr="00B279D8" w:rsidRDefault="002C3070" w:rsidP="004C0125">
            <w:r>
              <w:t>4</w:t>
            </w:r>
            <w:r w:rsidR="00B279D8" w:rsidRPr="00B279D8">
              <w:t xml:space="preserve"> (1,</w:t>
            </w:r>
            <w:r>
              <w:t>96</w:t>
            </w:r>
            <w:r w:rsidR="00B279D8" w:rsidRPr="00B279D8">
              <w:t>/</w:t>
            </w:r>
            <w:r>
              <w:t>2,04</w:t>
            </w:r>
            <w:r w:rsidR="00B279D8" w:rsidRPr="00B279D8">
              <w:t>)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1C595150" w:rsidR="00023A99" w:rsidRPr="000C2B36" w:rsidRDefault="000C2B36" w:rsidP="004C0125">
            <w:r w:rsidRPr="000C2B36"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53C90C7F" w:rsidR="00023A99" w:rsidRPr="00F02E5D" w:rsidRDefault="00657875" w:rsidP="00657875">
            <w:pPr>
              <w:autoSpaceDE w:val="0"/>
              <w:autoSpaceDN w:val="0"/>
              <w:adjustRightInd w:val="0"/>
              <w:jc w:val="both"/>
            </w:pPr>
            <w:r w:rsidRPr="00657875">
              <w:t xml:space="preserve">Celem kształcenia jest ukazanie roli spółdzielczości wiejskiej dla rozwoju polskiej gospodarki, rolnictwa oraz lokalnych rynków pracy. </w:t>
            </w:r>
            <w:r w:rsidR="006E7AE3">
              <w:t>Moduł</w:t>
            </w:r>
            <w:r w:rsidRPr="00657875">
              <w:t xml:space="preserve"> ma na celu przedstawienie wpływu spółdzielczości wiejskiej na politykę wspierającą zrównoważony rozwój obszarów wiejskich oraz jej znaczenia w walce z wykluczeniem społecznym na wsi. Omówiona zostanie rola sektora samorządowego i organizacji pozarządowych w promowaniu spółdzielczości, a także rola kapitału społecznego i społeczeństwa obywatelskiego w tworzeniu i rozwijaniu spółdzielni rolniczych oraz innych form współpracy na obszarach wiejskich.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7155A49B" w:rsidR="00023A99" w:rsidRPr="00F02E5D" w:rsidRDefault="00023A99" w:rsidP="004C0125">
            <w:r w:rsidRPr="00F02E5D">
              <w:t>1.</w:t>
            </w:r>
            <w:r w:rsidR="00657875">
              <w:t xml:space="preserve"> </w:t>
            </w:r>
            <w:r w:rsidR="00657875" w:rsidRPr="00657875">
              <w:t>Zna funkcjonowania spółdzielni</w:t>
            </w:r>
            <w:r w:rsidR="00B974F7">
              <w:t xml:space="preserve"> na obszarach</w:t>
            </w:r>
            <w:r w:rsidR="00657875" w:rsidRPr="00657875">
              <w:t xml:space="preserve"> wiejskich oraz</w:t>
            </w:r>
            <w:r w:rsidR="00B974F7">
              <w:t xml:space="preserve"> </w:t>
            </w:r>
            <w:r w:rsidR="00657875" w:rsidRPr="00657875">
              <w:t>zasady tworzenia spółdzielni rolniczych.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30A2A06D" w:rsidR="00023A99" w:rsidRPr="00F02E5D" w:rsidRDefault="00023A99" w:rsidP="004C0125">
            <w:r w:rsidRPr="00F02E5D">
              <w:t>2.</w:t>
            </w:r>
            <w:r w:rsidR="00657875">
              <w:t xml:space="preserve"> </w:t>
            </w:r>
            <w:r w:rsidR="00B974F7">
              <w:t>Zna prawo spółdzielcze</w:t>
            </w:r>
          </w:p>
        </w:tc>
      </w:tr>
      <w:tr w:rsidR="00023A99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58004644" w:rsidR="00023A99" w:rsidRPr="00F02E5D" w:rsidRDefault="00657875" w:rsidP="004C0125">
            <w:r>
              <w:t xml:space="preserve">3. </w:t>
            </w:r>
            <w:r w:rsidRPr="00657875">
              <w:t xml:space="preserve">Zna </w:t>
            </w:r>
            <w:r w:rsidR="00B974F7">
              <w:t>proces administracyjny tworzenia spółdzielni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06FF5365" w:rsidR="00023A99" w:rsidRPr="00F02E5D" w:rsidRDefault="00023A99" w:rsidP="004C0125">
            <w:r w:rsidRPr="00F02E5D">
              <w:t>1.</w:t>
            </w:r>
            <w:r w:rsidR="00657875">
              <w:t xml:space="preserve"> </w:t>
            </w:r>
            <w:r w:rsidR="00657875" w:rsidRPr="00657875">
              <w:t xml:space="preserve">Ma umiejętność </w:t>
            </w:r>
            <w:r w:rsidR="00B974F7">
              <w:t>założenia spółdzielni oraz kierowania spółdzielnią rolniczą</w:t>
            </w:r>
          </w:p>
        </w:tc>
      </w:tr>
      <w:tr w:rsidR="000C2B36" w:rsidRPr="00F02E5D" w14:paraId="662A2610" w14:textId="77777777" w:rsidTr="000C2B36">
        <w:trPr>
          <w:trHeight w:val="287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C2B36" w:rsidRPr="00F02E5D" w:rsidRDefault="000C2B36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7A0D093E" w:rsidR="000C2B36" w:rsidRPr="00F02E5D" w:rsidRDefault="000C2B36" w:rsidP="004C0125">
            <w:r w:rsidRPr="00F02E5D">
              <w:t>Kompetencje społeczne:</w:t>
            </w:r>
          </w:p>
        </w:tc>
      </w:tr>
      <w:tr w:rsidR="000C2B36" w:rsidRPr="00F02E5D" w14:paraId="4BC11334" w14:textId="77777777" w:rsidTr="000433C2">
        <w:trPr>
          <w:trHeight w:val="1390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C2B36" w:rsidRPr="00F02E5D" w:rsidRDefault="000C2B36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372A636A" w:rsidR="000C2B36" w:rsidRPr="00F02E5D" w:rsidRDefault="000C2B36" w:rsidP="004C0125">
            <w:r w:rsidRPr="00F02E5D">
              <w:t>1.</w:t>
            </w:r>
            <w:r>
              <w:t xml:space="preserve"> </w:t>
            </w:r>
            <w:r w:rsidRPr="00B0610A">
              <w:t xml:space="preserve">Posiada  kompetencje </w:t>
            </w:r>
            <w:r w:rsidR="00B974F7">
              <w:t xml:space="preserve">do kierowania </w:t>
            </w:r>
            <w:r w:rsidRPr="00B0610A">
              <w:t>spółdziel</w:t>
            </w:r>
            <w:r w:rsidR="00B974F7">
              <w:t>niami</w:t>
            </w:r>
            <w:r w:rsidRPr="00B0610A">
              <w:t xml:space="preserve"> </w:t>
            </w:r>
            <w:r>
              <w:t>na terenach wiejskich</w:t>
            </w:r>
            <w:r w:rsidRPr="00B0610A">
              <w:t>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F5C079B" w14:textId="46DE1990" w:rsidR="00F43C89" w:rsidRPr="00F02E5D" w:rsidRDefault="00AE37C2" w:rsidP="00F43C89">
            <w:r w:rsidRPr="00F02E5D">
              <w:t xml:space="preserve">W1 – </w:t>
            </w:r>
            <w:r w:rsidR="00F43C89">
              <w:t>DOW2</w:t>
            </w:r>
            <w:r w:rsidR="00F43C89">
              <w:rPr>
                <w:spacing w:val="-1"/>
              </w:rPr>
              <w:t xml:space="preserve"> </w:t>
            </w:r>
            <w:r w:rsidR="00F43C89">
              <w:t>_W02</w:t>
            </w:r>
            <w:r w:rsidR="00F43C89">
              <w:br/>
              <w:t xml:space="preserve">W2 - </w:t>
            </w:r>
            <w:r w:rsidR="00F43C89" w:rsidRPr="00F43C89">
              <w:t>DOW2 _W07</w:t>
            </w:r>
            <w:r w:rsidR="00F43C89">
              <w:br/>
              <w:t xml:space="preserve">W3 - </w:t>
            </w:r>
            <w:r w:rsidR="00F43C89" w:rsidRPr="00F43C89">
              <w:t>DOW2 _W08</w:t>
            </w:r>
            <w:r w:rsidR="00F43C89">
              <w:br/>
            </w:r>
            <w:r w:rsidR="00F43C89">
              <w:br/>
              <w:t xml:space="preserve">U1 - </w:t>
            </w:r>
            <w:r w:rsidR="00F43C89" w:rsidRPr="00F43C89">
              <w:t>DOW2 _U01</w:t>
            </w:r>
            <w:r w:rsidR="00F43C89">
              <w:br/>
            </w:r>
            <w:r w:rsidR="00F43C89">
              <w:br/>
              <w:t xml:space="preserve">K1 - </w:t>
            </w:r>
            <w:r w:rsidR="00F43C89" w:rsidRPr="00F43C89">
              <w:t>DOW_K02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374C6ED6" w:rsidR="005A4862" w:rsidRDefault="000C2B36" w:rsidP="00AE37C2">
            <w:pPr>
              <w:jc w:val="both"/>
            </w:pPr>
            <w:r>
              <w:t>Nie dotyczy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087E5333" w:rsidR="00AE37C2" w:rsidRPr="00F02E5D" w:rsidRDefault="000C2B36" w:rsidP="00AE37C2">
            <w:pPr>
              <w:jc w:val="both"/>
            </w:pPr>
            <w:r>
              <w:t xml:space="preserve">Nie dotyczy 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3716610B" w14:textId="10849CEE" w:rsidR="00AE37C2" w:rsidRDefault="00B0610A" w:rsidP="00AE37C2">
            <w:r w:rsidRPr="00B0610A">
              <w:t>Istota, geneza i źródła spółdzielczości na terenach wiejskich. Rola i miejsce spółdzielczości wiejskiej w gospodarce narodowej, uwzględniając zarówno tradycyjne, jak i współczesne podejście do tego zagadnienia. Wykluczenie społeczne na rynku pracy na obszarach wiejskich. Przedsiębiorstwa społeczne na terenach wiejskich – ich modele, mocne i słabe strony. Pojęcie spółdzielni i spółdzielczości w kontekście idei ekonomii społecznej. Historia spółdzielczości na terenach wiejskich, obejmująca sukcesy i niepowodzenia ruchu spółdzielczego. Typologia spółdzielni wiejskich. Spółdzielczość wiejska w programach rządowych i samorządowych. Źródła i instrumenty finansowania przedsięwzięć spółdzielczych na terenach wiejskich. Efekty działalności sektora spółdzielczego na terenach wiejskich oraz jego beneficjenci.</w:t>
            </w:r>
          </w:p>
          <w:p w14:paraId="7095A455" w14:textId="77777777" w:rsidR="00AE37C2" w:rsidRPr="00F02E5D" w:rsidRDefault="00AE37C2" w:rsidP="00AE37C2"/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5946C683" w14:textId="0EF78350" w:rsidR="00B974F7" w:rsidRDefault="00B974F7" w:rsidP="00B974F7">
            <w:pPr>
              <w:pStyle w:val="Akapitzlist"/>
            </w:pPr>
            <w:r w:rsidRPr="00933A5A">
              <w:rPr>
                <w:b/>
                <w:bCs/>
              </w:rPr>
              <w:t>Literatura podstawowa</w:t>
            </w:r>
            <w:r>
              <w:t>:</w:t>
            </w:r>
          </w:p>
          <w:p w14:paraId="0BFC9A85" w14:textId="404839BA" w:rsidR="00B0610A" w:rsidRPr="00B0610A" w:rsidRDefault="00B0610A" w:rsidP="00B0610A">
            <w:pPr>
              <w:pStyle w:val="Akapitzlist"/>
              <w:numPr>
                <w:ilvl w:val="0"/>
                <w:numId w:val="1"/>
              </w:numPr>
            </w:pPr>
            <w:r w:rsidRPr="00B0610A">
              <w:t>Spółdzielczy Instytut Badawczy. Vademecum Spółdzielczości. Spółdzielczy Instytut Badawczy, Warszawa 1997-1999.</w:t>
            </w:r>
            <w:r w:rsidR="00B974F7">
              <w:br/>
            </w:r>
            <w:r w:rsidR="00B974F7" w:rsidRPr="00933A5A">
              <w:rPr>
                <w:b/>
                <w:bCs/>
              </w:rPr>
              <w:t>Literatura uzupełniająca</w:t>
            </w:r>
            <w:r w:rsidR="00B974F7">
              <w:t xml:space="preserve">: </w:t>
            </w:r>
          </w:p>
          <w:p w14:paraId="0A49251A" w14:textId="77777777" w:rsidR="00B0610A" w:rsidRPr="00B0610A" w:rsidRDefault="00B0610A" w:rsidP="00B0610A">
            <w:pPr>
              <w:numPr>
                <w:ilvl w:val="0"/>
                <w:numId w:val="1"/>
              </w:numPr>
            </w:pPr>
            <w:r w:rsidRPr="00B0610A">
              <w:t xml:space="preserve">Pietrzak M. Fenomen spółdzielni rolników: pomiędzy rynkiem, hierarchią i klanem. </w:t>
            </w:r>
            <w:proofErr w:type="spellStart"/>
            <w:r w:rsidRPr="00B0610A">
              <w:t>CeDeWu</w:t>
            </w:r>
            <w:proofErr w:type="spellEnd"/>
            <w:r w:rsidRPr="00B0610A">
              <w:t>, Warszawa 2019.</w:t>
            </w:r>
          </w:p>
          <w:p w14:paraId="33211E4D" w14:textId="77777777" w:rsidR="00B0610A" w:rsidRPr="00B0610A" w:rsidRDefault="00B0610A" w:rsidP="00B0610A">
            <w:pPr>
              <w:numPr>
                <w:ilvl w:val="0"/>
                <w:numId w:val="1"/>
              </w:numPr>
            </w:pPr>
            <w:r w:rsidRPr="00B0610A">
              <w:t>Boguta W. (red.). Spółdzielczość wiejska jako jedna z głównych form wspólnego gospodarczego działania ludzi: kompendium dla szkół i uczelni rolniczych oraz instytucji otoczenia rolnictwa. Krajowa Rada Spółdzielcza, Warszawa 2014.</w:t>
            </w:r>
          </w:p>
          <w:p w14:paraId="0CFD156F" w14:textId="77777777" w:rsidR="00B0610A" w:rsidRPr="00B0610A" w:rsidRDefault="00B0610A" w:rsidP="00B0610A">
            <w:pPr>
              <w:numPr>
                <w:ilvl w:val="0"/>
                <w:numId w:val="1"/>
              </w:numPr>
            </w:pPr>
            <w:r w:rsidRPr="00B0610A">
              <w:t xml:space="preserve">Brzozowski B. Podstawy gospodarki spółdzielczej: wybrane zagadnienia. </w:t>
            </w:r>
            <w:r w:rsidRPr="00B0610A">
              <w:lastRenderedPageBreak/>
              <w:t>Wydawnictwo Uniwersytetu Rolniczego, Kraków 2008.</w:t>
            </w:r>
          </w:p>
          <w:p w14:paraId="642C045C" w14:textId="77777777" w:rsidR="00B0610A" w:rsidRPr="00B0610A" w:rsidRDefault="00B0610A" w:rsidP="00B0610A">
            <w:pPr>
              <w:numPr>
                <w:ilvl w:val="0"/>
                <w:numId w:val="1"/>
              </w:numPr>
            </w:pPr>
            <w:r w:rsidRPr="00B0610A">
              <w:t>Adamowicz M. (red.). Rolnictwo w procesie integrowania Polski z Unią Europejską. T. 3. Spółdzielczość rolnicza w procesie przekształceń rynkowych. Wydawnictwo SGGW, Warszawa 1995.</w:t>
            </w:r>
          </w:p>
          <w:p w14:paraId="7A8B8958" w14:textId="11F042AB" w:rsidR="00AE37C2" w:rsidRPr="00B0610A" w:rsidRDefault="00AE37C2" w:rsidP="00AE37C2"/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1A1DA60F" w14:textId="77777777" w:rsidR="00AE37C2" w:rsidRDefault="003D598D" w:rsidP="00AE37C2">
            <w:r w:rsidRPr="003D598D">
              <w:t>Na przedmiocie Spółdzielczość wiejska wykorzystywane będą różnorodne metody dydaktyczne, takie jak wykład, dyskusja oraz wykonanie projektu z użyciem komputera. Zajęcia obejmują omówienie teorii, analizę modeli spółdzielczości wiejskiej oraz pracę nad projektem dotyczącym założenia spółdzielni. Metody te mają na celu praktyczne zastosowanie zdobytej wiedzy.</w:t>
            </w:r>
          </w:p>
          <w:p w14:paraId="22BD71A9" w14:textId="76933323" w:rsidR="00753AEC" w:rsidRPr="00F02E5D" w:rsidRDefault="00753AEC" w:rsidP="00AE37C2">
            <w:r w:rsidRPr="00C31FA0">
              <w:t>Uwzględni</w:t>
            </w:r>
            <w:r>
              <w:t>one jest</w:t>
            </w:r>
            <w:r w:rsidRPr="00C31FA0">
              <w:t xml:space="preserve"> nauczanie i uczenie się z wykorzystaniem metod i technik kształcenia na odległość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3A91005A" w14:textId="77777777" w:rsidR="00027EED" w:rsidRDefault="00027EED" w:rsidP="00027EED">
            <w:pPr>
              <w:jc w:val="both"/>
            </w:pPr>
            <w:r>
              <w:t>Formy dokumentowania osiągniętych wyników: praca pisemna, projekt, dziennik prowadzącego</w:t>
            </w:r>
          </w:p>
          <w:p w14:paraId="67C759D4" w14:textId="77777777" w:rsidR="00027EED" w:rsidRDefault="00027EED" w:rsidP="00027EED">
            <w:pPr>
              <w:jc w:val="both"/>
            </w:pPr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65CE11C0" w14:textId="77777777" w:rsidR="00027EED" w:rsidRDefault="00027EED" w:rsidP="00027EED">
            <w:pPr>
              <w:jc w:val="both"/>
            </w:pPr>
            <w:r>
              <w:t>dostateczny (3,0) – od 51 do 60% sumy punktów,</w:t>
            </w:r>
          </w:p>
          <w:p w14:paraId="2D8BD6A2" w14:textId="77777777" w:rsidR="00027EED" w:rsidRDefault="00027EED" w:rsidP="00027EED">
            <w:pPr>
              <w:jc w:val="both"/>
            </w:pPr>
            <w:r>
              <w:t>dostateczny plus (3,5) – od 61 do 70%,</w:t>
            </w:r>
          </w:p>
          <w:p w14:paraId="68B5BD32" w14:textId="77777777" w:rsidR="00027EED" w:rsidRDefault="00027EED" w:rsidP="00027EED">
            <w:pPr>
              <w:jc w:val="both"/>
            </w:pPr>
            <w:r>
              <w:t>dobry (4,0) – od 71 do 80%,</w:t>
            </w:r>
          </w:p>
          <w:p w14:paraId="1F2817C9" w14:textId="77777777" w:rsidR="00027EED" w:rsidRDefault="00027EED" w:rsidP="00027EED">
            <w:pPr>
              <w:jc w:val="both"/>
            </w:pPr>
            <w:r>
              <w:t>dobry plus (4,5) – od 81 do 90%,</w:t>
            </w:r>
          </w:p>
          <w:p w14:paraId="60252DB8" w14:textId="77777777" w:rsidR="00027EED" w:rsidRDefault="00027EED" w:rsidP="00027EED">
            <w:pPr>
              <w:jc w:val="both"/>
            </w:pPr>
            <w:r>
              <w:t>bardzo dobry (5,0) – powyżej 91%.</w:t>
            </w:r>
          </w:p>
          <w:p w14:paraId="0D57D26D" w14:textId="77777777" w:rsidR="00027EED" w:rsidRDefault="00027EED" w:rsidP="00027EED">
            <w:pPr>
              <w:jc w:val="both"/>
            </w:pPr>
            <w:r>
              <w:t>W1 – projekt, dyskusja</w:t>
            </w:r>
          </w:p>
          <w:p w14:paraId="7D304642" w14:textId="77777777" w:rsidR="00027EED" w:rsidRDefault="00027EED" w:rsidP="00027EED">
            <w:pPr>
              <w:jc w:val="both"/>
            </w:pPr>
            <w:r>
              <w:t xml:space="preserve">U1 –  projekt, udział w dyskusji  </w:t>
            </w:r>
          </w:p>
          <w:p w14:paraId="7A7C02CF" w14:textId="400447B0" w:rsidR="003B757C" w:rsidRDefault="00027EED" w:rsidP="00027EED">
            <w:pPr>
              <w:jc w:val="both"/>
            </w:pPr>
            <w:r>
              <w:t>K1 – aktywność,</w:t>
            </w:r>
          </w:p>
          <w:p w14:paraId="09B2D89E" w14:textId="79098E3D" w:rsidR="00AE37C2" w:rsidRPr="00F02E5D" w:rsidRDefault="003C7E24" w:rsidP="003B757C">
            <w:pPr>
              <w:jc w:val="both"/>
            </w:pPr>
            <w:r w:rsidRPr="003C7E24">
              <w:t>Wyniki prac archiwizowane będą w postaci papierowej i cyfrowej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324D40A9" w14:textId="77777777" w:rsidR="003C7E24" w:rsidRDefault="003C7E24" w:rsidP="003C7E24">
            <w:pPr>
              <w:jc w:val="both"/>
            </w:pPr>
            <w:r>
              <w:t>Na ocenę końcową ma wpływ ocena z aktywności a</w:t>
            </w:r>
          </w:p>
          <w:p w14:paraId="58B664FE" w14:textId="77777777" w:rsidR="003C7E24" w:rsidRDefault="003C7E24" w:rsidP="003C7E24">
            <w:pPr>
              <w:jc w:val="both"/>
            </w:pPr>
            <w:r>
              <w:t>zajęciach (10%), ocena merytorycznej dyskusji</w:t>
            </w:r>
          </w:p>
          <w:p w14:paraId="541D6E1C" w14:textId="684D36B1" w:rsidR="00EC233B" w:rsidRPr="003B32BF" w:rsidRDefault="003C7E24" w:rsidP="003C7E24">
            <w:pPr>
              <w:jc w:val="both"/>
            </w:pPr>
            <w:r>
              <w:t>(10%), ocena projektu (80%). Warunki te są przedstawiane studentom i konsultowane z nimi na pierwszym wykładzie.</w:t>
            </w:r>
          </w:p>
        </w:tc>
      </w:tr>
      <w:tr w:rsidR="002C3070" w:rsidRPr="00F02E5D" w14:paraId="23E86523" w14:textId="77777777" w:rsidTr="00EE3FEE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2C3070" w:rsidRPr="00F02E5D" w:rsidRDefault="002C3070" w:rsidP="002C3070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4EE8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Kontaktowe</w:t>
            </w:r>
          </w:p>
          <w:p w14:paraId="0CB4EDE8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Wykłady 15 godz./ 0,6 ECTS</w:t>
            </w:r>
          </w:p>
          <w:p w14:paraId="141785AC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Ćwiczenia 30 godz. 1,2 ECTS</w:t>
            </w:r>
          </w:p>
          <w:p w14:paraId="656FC749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Konsultacje 4 godz./ 0,16 ECTS</w:t>
            </w:r>
          </w:p>
          <w:p w14:paraId="0C3D3761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Razem 49 godz./ 1,96 ECTS</w:t>
            </w:r>
          </w:p>
          <w:p w14:paraId="23824162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</w:p>
          <w:p w14:paraId="57130878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Niekontaktowe</w:t>
            </w:r>
            <w:proofErr w:type="spellEnd"/>
          </w:p>
          <w:p w14:paraId="1038C275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Przygotowanie do ćwiczeń 21 godz./ 0,84 ECTS</w:t>
            </w:r>
          </w:p>
          <w:p w14:paraId="6C88B454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Studiowanie literatury 15 godz./ 0,6 ECTS</w:t>
            </w:r>
          </w:p>
          <w:p w14:paraId="537AF2B3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Przygotowanie projektu 15 godz./ 0,6 ECTS</w:t>
            </w:r>
          </w:p>
          <w:p w14:paraId="2EBDA45B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Razem 51 godz./ 2,04 ECTS</w:t>
            </w:r>
          </w:p>
          <w:p w14:paraId="4E5EBF94" w14:textId="77777777" w:rsidR="002C3070" w:rsidRPr="00F02E5D" w:rsidRDefault="002C3070" w:rsidP="002C3070">
            <w:pPr>
              <w:jc w:val="both"/>
            </w:pPr>
          </w:p>
        </w:tc>
      </w:tr>
      <w:tr w:rsidR="002C3070" w:rsidRPr="00F02E5D" w14:paraId="38FA4A4E" w14:textId="77777777" w:rsidTr="00EE3FEE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2C3070" w:rsidRPr="00F02E5D" w:rsidRDefault="002C3070" w:rsidP="002C3070">
            <w:r w:rsidRPr="00F02E5D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D0B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Udział w wykładach 15 godz.</w:t>
            </w:r>
          </w:p>
          <w:p w14:paraId="70365B7F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Udział w ćwiczeniach 30 godz.</w:t>
            </w:r>
          </w:p>
          <w:p w14:paraId="7061026E" w14:textId="77777777" w:rsidR="002C3070" w:rsidRDefault="002C3070" w:rsidP="002C307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Udział w konsultacjach 4 godz.</w:t>
            </w:r>
          </w:p>
          <w:p w14:paraId="4DFE89D3" w14:textId="7EA2A395" w:rsidR="002C3070" w:rsidRPr="00F02E5D" w:rsidRDefault="002C3070" w:rsidP="003C7E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Łącznie 49h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B9690" w14:textId="77777777" w:rsidR="003170B5" w:rsidRDefault="003170B5" w:rsidP="008D17BD">
      <w:r>
        <w:separator/>
      </w:r>
    </w:p>
  </w:endnote>
  <w:endnote w:type="continuationSeparator" w:id="0">
    <w:p w14:paraId="6E6DEC74" w14:textId="77777777" w:rsidR="003170B5" w:rsidRDefault="003170B5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ABCA2" w14:textId="77777777" w:rsidR="003170B5" w:rsidRDefault="003170B5" w:rsidP="008D17BD">
      <w:r>
        <w:separator/>
      </w:r>
    </w:p>
  </w:footnote>
  <w:footnote w:type="continuationSeparator" w:id="0">
    <w:p w14:paraId="1494C49A" w14:textId="77777777" w:rsidR="003170B5" w:rsidRDefault="003170B5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D43E7"/>
    <w:multiLevelType w:val="multilevel"/>
    <w:tmpl w:val="6882C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358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318A"/>
    <w:rsid w:val="00023A99"/>
    <w:rsid w:val="00027EED"/>
    <w:rsid w:val="000A06C8"/>
    <w:rsid w:val="000C2B36"/>
    <w:rsid w:val="000F587A"/>
    <w:rsid w:val="00101F00"/>
    <w:rsid w:val="00206860"/>
    <w:rsid w:val="00207270"/>
    <w:rsid w:val="00216D51"/>
    <w:rsid w:val="00275233"/>
    <w:rsid w:val="002C3070"/>
    <w:rsid w:val="003170B5"/>
    <w:rsid w:val="003175AB"/>
    <w:rsid w:val="00326CC0"/>
    <w:rsid w:val="0032739E"/>
    <w:rsid w:val="003853C3"/>
    <w:rsid w:val="003B32BF"/>
    <w:rsid w:val="003B757C"/>
    <w:rsid w:val="003C7E24"/>
    <w:rsid w:val="003D598D"/>
    <w:rsid w:val="00457679"/>
    <w:rsid w:val="0046342C"/>
    <w:rsid w:val="00500899"/>
    <w:rsid w:val="00504E50"/>
    <w:rsid w:val="00530960"/>
    <w:rsid w:val="0057184E"/>
    <w:rsid w:val="005A4862"/>
    <w:rsid w:val="00633877"/>
    <w:rsid w:val="00657875"/>
    <w:rsid w:val="006742BC"/>
    <w:rsid w:val="006E7AE3"/>
    <w:rsid w:val="006F3573"/>
    <w:rsid w:val="00704814"/>
    <w:rsid w:val="00753AEC"/>
    <w:rsid w:val="007B3ADB"/>
    <w:rsid w:val="0089357C"/>
    <w:rsid w:val="008D17BD"/>
    <w:rsid w:val="0092197E"/>
    <w:rsid w:val="00933A5A"/>
    <w:rsid w:val="00980EBB"/>
    <w:rsid w:val="00991350"/>
    <w:rsid w:val="00992D17"/>
    <w:rsid w:val="009A1161"/>
    <w:rsid w:val="009C2572"/>
    <w:rsid w:val="009E49CA"/>
    <w:rsid w:val="00A6673A"/>
    <w:rsid w:val="00AC6080"/>
    <w:rsid w:val="00AE37C2"/>
    <w:rsid w:val="00B0610A"/>
    <w:rsid w:val="00B279D8"/>
    <w:rsid w:val="00B400C0"/>
    <w:rsid w:val="00B85F9D"/>
    <w:rsid w:val="00B974F7"/>
    <w:rsid w:val="00BB571D"/>
    <w:rsid w:val="00C82AC5"/>
    <w:rsid w:val="00CD423D"/>
    <w:rsid w:val="00D047EE"/>
    <w:rsid w:val="00D2747A"/>
    <w:rsid w:val="00DC2364"/>
    <w:rsid w:val="00DC5EA9"/>
    <w:rsid w:val="00E54369"/>
    <w:rsid w:val="00E558EE"/>
    <w:rsid w:val="00E82057"/>
    <w:rsid w:val="00EC233B"/>
    <w:rsid w:val="00EC3848"/>
    <w:rsid w:val="00F02DA4"/>
    <w:rsid w:val="00F02E5D"/>
    <w:rsid w:val="00F17FA9"/>
    <w:rsid w:val="00F43C89"/>
    <w:rsid w:val="00F709BE"/>
    <w:rsid w:val="00F74469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06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5E20-6B0B-4A0E-9638-D25346D3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2025-01-09T11:54:00Z</dcterms:created>
  <dcterms:modified xsi:type="dcterms:W3CDTF">2025-01-09T11:54:00Z</dcterms:modified>
</cp:coreProperties>
</file>