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99233" w14:textId="77777777" w:rsidR="001E1D5B" w:rsidRDefault="00F95CE2">
      <w:pPr>
        <w:jc w:val="center"/>
        <w:rPr>
          <w:bCs/>
        </w:rPr>
      </w:pPr>
      <w:r>
        <w:rPr>
          <w:sz w:val="22"/>
          <w:szCs w:val="22"/>
        </w:rPr>
        <w:t xml:space="preserve">                                                          </w:t>
      </w:r>
    </w:p>
    <w:p w14:paraId="60099234" w14:textId="77777777" w:rsidR="001E1D5B" w:rsidRDefault="00F95CE2">
      <w:pPr>
        <w:rPr>
          <w:b/>
        </w:rPr>
      </w:pPr>
      <w:r>
        <w:rPr>
          <w:b/>
        </w:rPr>
        <w:t>Karta opisu zajęć (sylabus)</w:t>
      </w:r>
    </w:p>
    <w:p w14:paraId="60099235" w14:textId="77777777" w:rsidR="001E1D5B" w:rsidRDefault="001E1D5B">
      <w:pPr>
        <w:rPr>
          <w:b/>
        </w:rPr>
      </w:pPr>
    </w:p>
    <w:tbl>
      <w:tblPr>
        <w:tblW w:w="9286" w:type="dxa"/>
        <w:tblLayout w:type="fixed"/>
        <w:tblLook w:val="01E0" w:firstRow="1" w:lastRow="1" w:firstColumn="1" w:lastColumn="1" w:noHBand="0" w:noVBand="0"/>
      </w:tblPr>
      <w:tblGrid>
        <w:gridCol w:w="3941"/>
        <w:gridCol w:w="5345"/>
      </w:tblGrid>
      <w:tr w:rsidR="001E1D5B" w14:paraId="6009923B" w14:textId="77777777"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99236" w14:textId="77777777" w:rsidR="001E1D5B" w:rsidRDefault="00F95CE2">
            <w:r>
              <w:t xml:space="preserve">Nazwa kierunku studiów </w:t>
            </w:r>
          </w:p>
          <w:p w14:paraId="60099237" w14:textId="77777777" w:rsidR="001E1D5B" w:rsidRDefault="001E1D5B"/>
        </w:tc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9923A" w14:textId="32EC241F" w:rsidR="001E1D5B" w:rsidRDefault="00F95CE2">
            <w:r>
              <w:t>Pielęgnacja zwierząt i animaloterapi</w:t>
            </w:r>
            <w:r w:rsidR="0065721C">
              <w:t>a</w:t>
            </w:r>
          </w:p>
        </w:tc>
      </w:tr>
      <w:tr w:rsidR="001E1D5B" w14:paraId="6009923F" w14:textId="77777777"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9923C" w14:textId="77777777" w:rsidR="001E1D5B" w:rsidRDefault="00F95CE2">
            <w:r>
              <w:t>Nazwa modułu, także nazwa w języku angielskim</w:t>
            </w:r>
          </w:p>
        </w:tc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9923D" w14:textId="77777777" w:rsidR="001E1D5B" w:rsidRDefault="00F95CE2">
            <w:pPr>
              <w:rPr>
                <w:i/>
              </w:rPr>
            </w:pPr>
            <w:r>
              <w:rPr>
                <w:i/>
              </w:rPr>
              <w:t>Mikrobiologia</w:t>
            </w:r>
          </w:p>
          <w:p w14:paraId="6009923E" w14:textId="77777777" w:rsidR="001E1D5B" w:rsidRDefault="00F95CE2">
            <w:r>
              <w:rPr>
                <w:i/>
              </w:rPr>
              <w:t>Microbiology</w:t>
            </w:r>
          </w:p>
        </w:tc>
      </w:tr>
      <w:tr w:rsidR="001E1D5B" w14:paraId="60099243" w14:textId="77777777"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99240" w14:textId="77777777" w:rsidR="001E1D5B" w:rsidRDefault="00F95CE2">
            <w:r>
              <w:t xml:space="preserve">Język wykładowy </w:t>
            </w:r>
          </w:p>
          <w:p w14:paraId="60099241" w14:textId="77777777" w:rsidR="001E1D5B" w:rsidRDefault="001E1D5B"/>
        </w:tc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99242" w14:textId="77777777" w:rsidR="001E1D5B" w:rsidRDefault="00F95CE2">
            <w:r>
              <w:t>polski</w:t>
            </w:r>
          </w:p>
        </w:tc>
      </w:tr>
      <w:tr w:rsidR="001E1D5B" w14:paraId="60099247" w14:textId="77777777"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99244" w14:textId="77777777" w:rsidR="001E1D5B" w:rsidRDefault="00F95CE2">
            <w:r>
              <w:t xml:space="preserve">Rodzaj modułu </w:t>
            </w:r>
          </w:p>
          <w:p w14:paraId="60099245" w14:textId="77777777" w:rsidR="001E1D5B" w:rsidRDefault="001E1D5B"/>
        </w:tc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99246" w14:textId="77777777" w:rsidR="001E1D5B" w:rsidRDefault="00F95CE2">
            <w:r>
              <w:t>obowiązkowy</w:t>
            </w:r>
          </w:p>
        </w:tc>
      </w:tr>
      <w:tr w:rsidR="001E1D5B" w14:paraId="6009924A" w14:textId="77777777"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99248" w14:textId="77777777" w:rsidR="001E1D5B" w:rsidRDefault="00F95CE2">
            <w:r>
              <w:t>Poziom studiów</w:t>
            </w:r>
          </w:p>
        </w:tc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99249" w14:textId="624146B8" w:rsidR="001E1D5B" w:rsidRDefault="00A84B3B">
            <w:r w:rsidRPr="00A03E36">
              <w:t>pierwszego stopnia</w:t>
            </w:r>
          </w:p>
        </w:tc>
      </w:tr>
      <w:tr w:rsidR="001E1D5B" w14:paraId="6009924E" w14:textId="77777777"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9924B" w14:textId="77777777" w:rsidR="001E1D5B" w:rsidRDefault="00F95CE2">
            <w:r>
              <w:t>Forma studiów</w:t>
            </w:r>
          </w:p>
          <w:p w14:paraId="6009924C" w14:textId="77777777" w:rsidR="001E1D5B" w:rsidRDefault="001E1D5B"/>
        </w:tc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9924D" w14:textId="7D74E4E0" w:rsidR="001E1D5B" w:rsidRDefault="00F95CE2">
            <w:r>
              <w:t>stacjonarne</w:t>
            </w:r>
          </w:p>
        </w:tc>
      </w:tr>
      <w:tr w:rsidR="001E1D5B" w14:paraId="60099251" w14:textId="77777777"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9924F" w14:textId="77777777" w:rsidR="001E1D5B" w:rsidRDefault="00F95CE2">
            <w:r>
              <w:t>Rok studiów dla kierunku</w:t>
            </w:r>
          </w:p>
        </w:tc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99250" w14:textId="77777777" w:rsidR="001E1D5B" w:rsidRDefault="00F95CE2">
            <w:r>
              <w:t>I</w:t>
            </w:r>
          </w:p>
        </w:tc>
      </w:tr>
      <w:tr w:rsidR="001E1D5B" w14:paraId="60099254" w14:textId="77777777"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99252" w14:textId="77777777" w:rsidR="001E1D5B" w:rsidRDefault="00F95CE2">
            <w:r>
              <w:t>Semestr dla kierunku</w:t>
            </w:r>
          </w:p>
        </w:tc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99253" w14:textId="77777777" w:rsidR="001E1D5B" w:rsidRDefault="00F95CE2">
            <w:r>
              <w:t>2</w:t>
            </w:r>
          </w:p>
        </w:tc>
      </w:tr>
      <w:tr w:rsidR="001E1D5B" w14:paraId="60099257" w14:textId="77777777"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99255" w14:textId="77777777" w:rsidR="001E1D5B" w:rsidRDefault="00F95CE2">
            <w:r>
              <w:t>Liczba punktów ECTS z podziałem na kontaktowe/niekontaktowe</w:t>
            </w:r>
          </w:p>
        </w:tc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99256" w14:textId="1B5211E3" w:rsidR="001E1D5B" w:rsidRDefault="00F95CE2">
            <w:r>
              <w:t>4 (2/2)</w:t>
            </w:r>
          </w:p>
        </w:tc>
      </w:tr>
      <w:tr w:rsidR="001E1D5B" w14:paraId="6009925A" w14:textId="77777777"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99258" w14:textId="77777777" w:rsidR="001E1D5B" w:rsidRDefault="00F95CE2">
            <w:r>
              <w:t>Tytuł naukowy/stopień naukowy, imię i nazwisko osoby odpowiedzialnej za moduł</w:t>
            </w:r>
          </w:p>
        </w:tc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99259" w14:textId="77777777" w:rsidR="001E1D5B" w:rsidRDefault="00F95CE2">
            <w:r>
              <w:t>Dr hab. Henryk Krukowski</w:t>
            </w:r>
          </w:p>
        </w:tc>
      </w:tr>
      <w:tr w:rsidR="001E1D5B" w14:paraId="6009925E" w14:textId="77777777"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9925B" w14:textId="77777777" w:rsidR="001E1D5B" w:rsidRDefault="00F95CE2">
            <w:r>
              <w:t>Jednostka oferująca moduł</w:t>
            </w:r>
          </w:p>
          <w:p w14:paraId="6009925C" w14:textId="77777777" w:rsidR="001E1D5B" w:rsidRDefault="001E1D5B"/>
        </w:tc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9925D" w14:textId="77777777" w:rsidR="001E1D5B" w:rsidRDefault="00F95CE2">
            <w:r>
              <w:t xml:space="preserve">Zakład Mikrobiologii i Biologii Rozrodu  </w:t>
            </w:r>
            <w:r>
              <w:rPr>
                <w:i/>
              </w:rPr>
              <w:t>Katedry Higieny Zwierząt i  Zagrożeń  Środowiska</w:t>
            </w:r>
          </w:p>
        </w:tc>
      </w:tr>
      <w:tr w:rsidR="001E1D5B" w14:paraId="60099262" w14:textId="77777777"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9925F" w14:textId="77777777" w:rsidR="001E1D5B" w:rsidRDefault="00F95CE2">
            <w:r>
              <w:t>Cel modułu</w:t>
            </w:r>
          </w:p>
          <w:p w14:paraId="60099260" w14:textId="77777777" w:rsidR="001E1D5B" w:rsidRDefault="001E1D5B"/>
        </w:tc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99261" w14:textId="77777777" w:rsidR="001E1D5B" w:rsidRDefault="00F95CE2" w:rsidP="00A84B3B">
            <w:pPr>
              <w:jc w:val="both"/>
            </w:pPr>
            <w:r>
              <w:rPr>
                <w:i/>
              </w:rPr>
              <w:t>Celem modułu jest zapoznanie studentów z podstawowymi grupami drobnoustrojów zasiedlających środowiska naturalne, a więc bakteriami, wirusami i grzybami oraz glonami Prototheca</w:t>
            </w:r>
          </w:p>
        </w:tc>
      </w:tr>
      <w:tr w:rsidR="001E1D5B" w14:paraId="60099265" w14:textId="77777777">
        <w:trPr>
          <w:trHeight w:val="236"/>
        </w:trPr>
        <w:tc>
          <w:tcPr>
            <w:tcW w:w="39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99263" w14:textId="77777777" w:rsidR="001E1D5B" w:rsidRDefault="00F95CE2">
            <w:pPr>
              <w:jc w:val="both"/>
            </w:pPr>
            <w:r>
              <w:t>Efekty uczenia się dla modułu to opis zasobu wiedzy, umiejętności i kompetencji społecznych, które student osiągnie po zrealizowaniu zajęć.</w:t>
            </w:r>
          </w:p>
        </w:tc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99264" w14:textId="77777777" w:rsidR="001E1D5B" w:rsidRDefault="00F95CE2">
            <w:r>
              <w:t>Wiedza:</w:t>
            </w:r>
          </w:p>
        </w:tc>
      </w:tr>
      <w:tr w:rsidR="001E1D5B" w14:paraId="60099268" w14:textId="77777777">
        <w:trPr>
          <w:trHeight w:val="233"/>
        </w:trPr>
        <w:tc>
          <w:tcPr>
            <w:tcW w:w="3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99266" w14:textId="77777777" w:rsidR="001E1D5B" w:rsidRDefault="001E1D5B">
            <w:pPr>
              <w:rPr>
                <w:highlight w:val="yellow"/>
              </w:rPr>
            </w:pPr>
          </w:p>
        </w:tc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99267" w14:textId="77777777" w:rsidR="001E1D5B" w:rsidRDefault="00F95CE2" w:rsidP="00F95CE2">
            <w:pPr>
              <w:jc w:val="both"/>
            </w:pPr>
            <w:r>
              <w:t>1. Ma wiedzę z zakresu systematyki, struktury, fizjologii, i genetyki mikroorganizmów (bakterie, wirusy i grzyby)</w:t>
            </w:r>
          </w:p>
        </w:tc>
      </w:tr>
      <w:tr w:rsidR="001E1D5B" w14:paraId="6009926B" w14:textId="77777777">
        <w:trPr>
          <w:trHeight w:val="233"/>
        </w:trPr>
        <w:tc>
          <w:tcPr>
            <w:tcW w:w="3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99269" w14:textId="77777777" w:rsidR="001E1D5B" w:rsidRDefault="001E1D5B">
            <w:pPr>
              <w:rPr>
                <w:highlight w:val="yellow"/>
              </w:rPr>
            </w:pPr>
          </w:p>
        </w:tc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9926A" w14:textId="77777777" w:rsidR="001E1D5B" w:rsidRDefault="00F95CE2" w:rsidP="00F95CE2">
            <w:pPr>
              <w:jc w:val="both"/>
            </w:pPr>
            <w:r>
              <w:t>2. Zna podstawowe grupy antybiotyków oraz zakres    ich działania</w:t>
            </w:r>
          </w:p>
        </w:tc>
      </w:tr>
      <w:tr w:rsidR="001E1D5B" w14:paraId="6009926E" w14:textId="77777777">
        <w:trPr>
          <w:trHeight w:val="233"/>
        </w:trPr>
        <w:tc>
          <w:tcPr>
            <w:tcW w:w="3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9926C" w14:textId="77777777" w:rsidR="001E1D5B" w:rsidRDefault="001E1D5B">
            <w:pPr>
              <w:rPr>
                <w:highlight w:val="yellow"/>
              </w:rPr>
            </w:pPr>
          </w:p>
        </w:tc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9926D" w14:textId="77777777" w:rsidR="001E1D5B" w:rsidRDefault="00F95CE2" w:rsidP="00F95CE2">
            <w:pPr>
              <w:jc w:val="both"/>
            </w:pPr>
            <w:r>
              <w:t>3. Zna podstawowe grupy mikroorganizmów mających podstawowe znaczenie w chorobach zwierząt</w:t>
            </w:r>
          </w:p>
        </w:tc>
      </w:tr>
      <w:tr w:rsidR="001E1D5B" w14:paraId="60099271" w14:textId="77777777">
        <w:trPr>
          <w:trHeight w:val="233"/>
        </w:trPr>
        <w:tc>
          <w:tcPr>
            <w:tcW w:w="3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9926F" w14:textId="77777777" w:rsidR="001E1D5B" w:rsidRDefault="001E1D5B">
            <w:pPr>
              <w:rPr>
                <w:highlight w:val="yellow"/>
              </w:rPr>
            </w:pPr>
          </w:p>
        </w:tc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99270" w14:textId="77777777" w:rsidR="001E1D5B" w:rsidRDefault="00F95CE2" w:rsidP="00F95CE2">
            <w:pPr>
              <w:jc w:val="both"/>
            </w:pPr>
            <w:r>
              <w:t>Umiejętności:</w:t>
            </w:r>
          </w:p>
        </w:tc>
      </w:tr>
      <w:tr w:rsidR="001E1D5B" w14:paraId="60099274" w14:textId="77777777">
        <w:trPr>
          <w:trHeight w:val="233"/>
        </w:trPr>
        <w:tc>
          <w:tcPr>
            <w:tcW w:w="3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99272" w14:textId="77777777" w:rsidR="001E1D5B" w:rsidRDefault="001E1D5B">
            <w:pPr>
              <w:rPr>
                <w:highlight w:val="yellow"/>
              </w:rPr>
            </w:pPr>
          </w:p>
        </w:tc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99273" w14:textId="77777777" w:rsidR="001E1D5B" w:rsidRDefault="00F95CE2" w:rsidP="00F95CE2">
            <w:pPr>
              <w:jc w:val="both"/>
            </w:pPr>
            <w:r>
              <w:t>1. Umie praktycznie stosować techniki diagnostyczne (barwienie, mikroskopię, hodowlę, antybiogramy)</w:t>
            </w:r>
          </w:p>
        </w:tc>
      </w:tr>
      <w:tr w:rsidR="001E1D5B" w14:paraId="60099277" w14:textId="77777777">
        <w:trPr>
          <w:trHeight w:val="233"/>
        </w:trPr>
        <w:tc>
          <w:tcPr>
            <w:tcW w:w="3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99275" w14:textId="77777777" w:rsidR="001E1D5B" w:rsidRDefault="001E1D5B">
            <w:pPr>
              <w:rPr>
                <w:highlight w:val="yellow"/>
              </w:rPr>
            </w:pPr>
          </w:p>
        </w:tc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99276" w14:textId="77777777" w:rsidR="001E1D5B" w:rsidRDefault="00F95CE2" w:rsidP="00F95CE2">
            <w:pPr>
              <w:jc w:val="both"/>
            </w:pPr>
            <w:r>
              <w:t>2. Posiada umiejętności interpretowania i przetwarzania danych z dziedziny mikrobiologii w celu prawidłowej oceny zdrowia zwierząt</w:t>
            </w:r>
          </w:p>
        </w:tc>
      </w:tr>
      <w:tr w:rsidR="001E1D5B" w14:paraId="6009927A" w14:textId="77777777">
        <w:trPr>
          <w:trHeight w:val="233"/>
        </w:trPr>
        <w:tc>
          <w:tcPr>
            <w:tcW w:w="3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99278" w14:textId="77777777" w:rsidR="001E1D5B" w:rsidRDefault="001E1D5B">
            <w:pPr>
              <w:rPr>
                <w:highlight w:val="yellow"/>
              </w:rPr>
            </w:pPr>
          </w:p>
        </w:tc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99279" w14:textId="77777777" w:rsidR="001E1D5B" w:rsidRDefault="00F95CE2">
            <w:r>
              <w:rPr>
                <w:sz w:val="22"/>
                <w:szCs w:val="22"/>
              </w:rPr>
              <w:t>…</w:t>
            </w:r>
          </w:p>
        </w:tc>
      </w:tr>
      <w:tr w:rsidR="001E1D5B" w14:paraId="6009927D" w14:textId="77777777">
        <w:trPr>
          <w:trHeight w:val="233"/>
        </w:trPr>
        <w:tc>
          <w:tcPr>
            <w:tcW w:w="3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9927B" w14:textId="77777777" w:rsidR="001E1D5B" w:rsidRDefault="001E1D5B">
            <w:pPr>
              <w:rPr>
                <w:highlight w:val="yellow"/>
              </w:rPr>
            </w:pPr>
          </w:p>
        </w:tc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9927C" w14:textId="77777777" w:rsidR="001E1D5B" w:rsidRDefault="00F95CE2">
            <w:r>
              <w:t>Kompetencje społeczne:</w:t>
            </w:r>
          </w:p>
        </w:tc>
      </w:tr>
      <w:tr w:rsidR="001E1D5B" w14:paraId="60099280" w14:textId="77777777">
        <w:trPr>
          <w:trHeight w:val="233"/>
        </w:trPr>
        <w:tc>
          <w:tcPr>
            <w:tcW w:w="3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9927E" w14:textId="77777777" w:rsidR="001E1D5B" w:rsidRDefault="001E1D5B">
            <w:pPr>
              <w:rPr>
                <w:highlight w:val="yellow"/>
              </w:rPr>
            </w:pPr>
          </w:p>
        </w:tc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9927F" w14:textId="77777777" w:rsidR="001E1D5B" w:rsidRDefault="00F95CE2" w:rsidP="00F95CE2">
            <w:pPr>
              <w:jc w:val="both"/>
            </w:pPr>
            <w:r>
              <w:t xml:space="preserve">1. Rozumie rolę mikroorganizmów (pozytywną i negatywną)  w życiu człowieka, zwierząt i roślin a </w:t>
            </w:r>
            <w:r>
              <w:lastRenderedPageBreak/>
              <w:t>także całych ekosystemów.</w:t>
            </w:r>
          </w:p>
        </w:tc>
      </w:tr>
      <w:tr w:rsidR="001E1D5B" w14:paraId="60099283" w14:textId="77777777">
        <w:trPr>
          <w:trHeight w:val="233"/>
        </w:trPr>
        <w:tc>
          <w:tcPr>
            <w:tcW w:w="3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99281" w14:textId="77777777" w:rsidR="001E1D5B" w:rsidRDefault="001E1D5B">
            <w:pPr>
              <w:rPr>
                <w:highlight w:val="yellow"/>
              </w:rPr>
            </w:pPr>
          </w:p>
        </w:tc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99282" w14:textId="77777777" w:rsidR="001E1D5B" w:rsidRDefault="00F95CE2" w:rsidP="00F95CE2">
            <w:pPr>
              <w:jc w:val="both"/>
              <w:rPr>
                <w:rStyle w:val="hps"/>
              </w:rPr>
            </w:pPr>
            <w:r>
              <w:t>2. Ma świadomość nieustannej zmienności i mutacji mikroorganizmów, która to zmiana jest nie do opanowania</w:t>
            </w:r>
          </w:p>
        </w:tc>
      </w:tr>
      <w:tr w:rsidR="001E1D5B" w14:paraId="60099291" w14:textId="77777777"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99284" w14:textId="77777777" w:rsidR="001E1D5B" w:rsidRDefault="00F95CE2">
            <w:r>
              <w:t>Odniesienie modułowych efektów uczenia się do kierunkowych efektów uczenia się</w:t>
            </w:r>
          </w:p>
        </w:tc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99285" w14:textId="77777777" w:rsidR="001E1D5B" w:rsidRDefault="00F95CE2">
            <w:r>
              <w:rPr>
                <w:sz w:val="22"/>
                <w:szCs w:val="22"/>
              </w:rPr>
              <w:t xml:space="preserve">W1 – </w:t>
            </w:r>
            <w:r>
              <w:t xml:space="preserve"> </w:t>
            </w:r>
            <w:r>
              <w:rPr>
                <w:spacing w:val="6"/>
              </w:rPr>
              <w:t>PZA_W01</w:t>
            </w:r>
            <w:r>
              <w:t xml:space="preserve"> (+)</w:t>
            </w:r>
          </w:p>
          <w:p w14:paraId="60099287" w14:textId="77777777" w:rsidR="001E1D5B" w:rsidRDefault="00F95CE2">
            <w:r>
              <w:rPr>
                <w:sz w:val="22"/>
                <w:szCs w:val="22"/>
              </w:rPr>
              <w:t xml:space="preserve">W2 – </w:t>
            </w:r>
            <w:r>
              <w:t xml:space="preserve"> </w:t>
            </w:r>
            <w:r>
              <w:rPr>
                <w:spacing w:val="6"/>
              </w:rPr>
              <w:t>PZA_W01</w:t>
            </w:r>
            <w:r>
              <w:t xml:space="preserve"> (+)</w:t>
            </w:r>
          </w:p>
          <w:p w14:paraId="60099288" w14:textId="77777777" w:rsidR="001E1D5B" w:rsidRDefault="00F95CE2">
            <w:pPr>
              <w:rPr>
                <w:spacing w:val="6"/>
              </w:rPr>
            </w:pPr>
            <w:r>
              <w:t xml:space="preserve">W3 - </w:t>
            </w:r>
            <w:r>
              <w:rPr>
                <w:spacing w:val="6"/>
              </w:rPr>
              <w:t>PZA_W02 (+)</w:t>
            </w:r>
          </w:p>
          <w:p w14:paraId="3C52BDB7" w14:textId="1EBC125F" w:rsidR="009755DC" w:rsidRDefault="009755DC" w:rsidP="009755DC">
            <w:pPr>
              <w:jc w:val="both"/>
            </w:pPr>
            <w:r>
              <w:rPr>
                <w:sz w:val="22"/>
                <w:szCs w:val="22"/>
              </w:rPr>
              <w:t>…….</w:t>
            </w:r>
          </w:p>
          <w:p w14:paraId="6009928B" w14:textId="77777777" w:rsidR="001E1D5B" w:rsidRDefault="00F95CE2">
            <w:pPr>
              <w:jc w:val="both"/>
            </w:pPr>
            <w:r>
              <w:rPr>
                <w:sz w:val="22"/>
                <w:szCs w:val="22"/>
              </w:rPr>
              <w:t xml:space="preserve">U1 – </w:t>
            </w:r>
            <w:r>
              <w:rPr>
                <w:spacing w:val="6"/>
              </w:rPr>
              <w:t xml:space="preserve"> PZA_U07 </w:t>
            </w:r>
            <w:r>
              <w:t>(+)</w:t>
            </w:r>
          </w:p>
          <w:p w14:paraId="6009928C" w14:textId="77777777" w:rsidR="001E1D5B" w:rsidRDefault="00F95CE2">
            <w:pPr>
              <w:jc w:val="both"/>
            </w:pPr>
            <w:r>
              <w:rPr>
                <w:sz w:val="22"/>
                <w:szCs w:val="22"/>
              </w:rPr>
              <w:t xml:space="preserve">U2 –  </w:t>
            </w:r>
            <w:r>
              <w:rPr>
                <w:spacing w:val="6"/>
              </w:rPr>
              <w:t xml:space="preserve">PZA_U03 </w:t>
            </w:r>
            <w:r>
              <w:t>(+)</w:t>
            </w:r>
          </w:p>
          <w:p w14:paraId="6009928D" w14:textId="77777777" w:rsidR="001E1D5B" w:rsidRDefault="00F95CE2">
            <w:pPr>
              <w:jc w:val="both"/>
            </w:pPr>
            <w:r>
              <w:rPr>
                <w:sz w:val="22"/>
                <w:szCs w:val="22"/>
              </w:rPr>
              <w:t>…….</w:t>
            </w:r>
          </w:p>
          <w:p w14:paraId="6009928E" w14:textId="77777777" w:rsidR="001E1D5B" w:rsidRDefault="00F95CE2">
            <w:pPr>
              <w:jc w:val="both"/>
            </w:pPr>
            <w:r>
              <w:rPr>
                <w:sz w:val="22"/>
                <w:szCs w:val="22"/>
              </w:rPr>
              <w:t xml:space="preserve">K1 –  </w:t>
            </w:r>
            <w:r>
              <w:t xml:space="preserve"> </w:t>
            </w:r>
            <w:r>
              <w:rPr>
                <w:spacing w:val="6"/>
              </w:rPr>
              <w:t>PZA_K01</w:t>
            </w:r>
            <w:r>
              <w:t xml:space="preserve"> (+)</w:t>
            </w:r>
          </w:p>
          <w:p w14:paraId="6009928F" w14:textId="77777777" w:rsidR="001E1D5B" w:rsidRDefault="00F95CE2">
            <w:pPr>
              <w:jc w:val="both"/>
            </w:pPr>
            <w:r>
              <w:rPr>
                <w:sz w:val="22"/>
                <w:szCs w:val="22"/>
              </w:rPr>
              <w:t xml:space="preserve">K2 – </w:t>
            </w:r>
            <w:r>
              <w:rPr>
                <w:spacing w:val="6"/>
              </w:rPr>
              <w:t>PZA_K01</w:t>
            </w:r>
            <w:r>
              <w:t xml:space="preserve"> (+)</w:t>
            </w:r>
          </w:p>
          <w:p w14:paraId="60099290" w14:textId="77777777" w:rsidR="001E1D5B" w:rsidRDefault="00F95C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……..</w:t>
            </w:r>
          </w:p>
        </w:tc>
      </w:tr>
      <w:tr w:rsidR="001E1D5B" w14:paraId="60099294" w14:textId="77777777"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99292" w14:textId="77777777" w:rsidR="001E1D5B" w:rsidRDefault="00F95CE2">
            <w:r>
              <w:t>Odniesienie modułowych efektów uczenia się do efektów inżynierskich (jeżeli dotyczy)</w:t>
            </w:r>
          </w:p>
        </w:tc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99293" w14:textId="77777777" w:rsidR="001E1D5B" w:rsidRDefault="001E1D5B">
            <w:pPr>
              <w:jc w:val="both"/>
            </w:pPr>
          </w:p>
        </w:tc>
      </w:tr>
      <w:tr w:rsidR="001E1D5B" w14:paraId="60099297" w14:textId="77777777"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99295" w14:textId="77777777" w:rsidR="001E1D5B" w:rsidRDefault="00F95CE2">
            <w:r>
              <w:t xml:space="preserve">Wymagania wstępne i dodatkowe </w:t>
            </w:r>
          </w:p>
        </w:tc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99296" w14:textId="77777777" w:rsidR="001E1D5B" w:rsidRDefault="001E1D5B">
            <w:pPr>
              <w:jc w:val="both"/>
            </w:pPr>
          </w:p>
        </w:tc>
      </w:tr>
      <w:tr w:rsidR="001E1D5B" w14:paraId="6009929C" w14:textId="77777777"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99298" w14:textId="77777777" w:rsidR="001E1D5B" w:rsidRDefault="00F95CE2">
            <w:r>
              <w:t xml:space="preserve">Treści programowe modułu </w:t>
            </w:r>
          </w:p>
          <w:p w14:paraId="60099299" w14:textId="77777777" w:rsidR="001E1D5B" w:rsidRDefault="001E1D5B"/>
        </w:tc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9929A" w14:textId="77777777" w:rsidR="001E1D5B" w:rsidRDefault="00F95CE2" w:rsidP="00F95CE2">
            <w:pPr>
              <w:jc w:val="both"/>
            </w:pPr>
            <w:r w:rsidRPr="0065721C">
              <w:rPr>
                <w:rFonts w:eastAsia="TimesNewRomanPSMT"/>
                <w:color w:val="000000"/>
              </w:rPr>
              <w:t xml:space="preserve">Sterylizacja i dezynfekcja,  pojęcia: aseptyka, antyseptyka, dezynfekcja, sterylizacja. Metody sterylizacji i dezynfekcji, kontrola procesów sterylizacji..  Podstawy klasyfikacji bakterii. Podstawowe podłoża mikrobiologiczne. Struktura komórki bakteryjnej. Genetyka bakterii:  genom bakterii, zmienność mutacyjna, koniugacja, transformacja, transdukcja.   Metabolizm i fizjologia bakterii: asymilacja pierwiastków biogennych (autotrofizm i heterotrofizm), oddychanie (tlenowe i beztlenowe).  Mechanizmy chorobotwórczości bakterii: otoczki, adhezja, inwazja, egzoenzymy, toksyczność. Sposoby „ucieczki” bakterii przed mechanizmami obronnymi organizmu zakażonego.   Antybiotyki (charakterystyka, zakres i mechanizmy działania).  Bakterie G(+) ziarniaki – gronkowce, paciorkowce.  Bakterie  coliform.    Grzyby drożdżopodobne,  pleśnie.  Glony </w:t>
            </w:r>
            <w:r w:rsidRPr="0065721C">
              <w:rPr>
                <w:rFonts w:eastAsia="TimesNewRomanPSMT"/>
                <w:i/>
                <w:iCs/>
                <w:color w:val="000000"/>
              </w:rPr>
              <w:t>Prototheca</w:t>
            </w:r>
            <w:r w:rsidRPr="0065721C">
              <w:rPr>
                <w:rFonts w:eastAsia="TimesNewRomanPSMT"/>
                <w:color w:val="000000"/>
              </w:rPr>
              <w:t>. Wirusy – budowa,  klasyfikacja i podział</w:t>
            </w:r>
          </w:p>
          <w:p w14:paraId="6009929B" w14:textId="77777777" w:rsidR="001E1D5B" w:rsidRDefault="001E1D5B"/>
        </w:tc>
      </w:tr>
      <w:tr w:rsidR="001E1D5B" w14:paraId="600992A3" w14:textId="77777777"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9929D" w14:textId="77777777" w:rsidR="001E1D5B" w:rsidRDefault="00F95CE2">
            <w:r>
              <w:t>Wykaz literatury podstawowej i uzupełniającej</w:t>
            </w:r>
          </w:p>
        </w:tc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FE98CE" w14:textId="77777777" w:rsidR="00F95CE2" w:rsidRPr="00854C99" w:rsidRDefault="00F95CE2" w:rsidP="00F95CE2">
            <w:pPr>
              <w:snapToGrid w:val="0"/>
              <w:spacing w:after="200" w:line="276" w:lineRule="auto"/>
              <w:jc w:val="both"/>
              <w:rPr>
                <w:rFonts w:eastAsia="TimesNewRomanPS-BoldMT"/>
              </w:rPr>
            </w:pPr>
            <w:r w:rsidRPr="00854C99">
              <w:rPr>
                <w:i/>
              </w:rPr>
              <w:t>Literatura podstawowa:</w:t>
            </w:r>
            <w:r w:rsidRPr="00854C99">
              <w:rPr>
                <w:rFonts w:eastAsia="TimesNewRomanPS-BoldMT"/>
              </w:rPr>
              <w:t xml:space="preserve"> </w:t>
            </w:r>
          </w:p>
          <w:p w14:paraId="6009929E" w14:textId="3684FD85" w:rsidR="001E1D5B" w:rsidRPr="00854C99" w:rsidRDefault="00F95CE2">
            <w:pPr>
              <w:numPr>
                <w:ilvl w:val="0"/>
                <w:numId w:val="1"/>
              </w:numPr>
              <w:snapToGrid w:val="0"/>
              <w:spacing w:after="200" w:line="276" w:lineRule="auto"/>
              <w:jc w:val="both"/>
              <w:rPr>
                <w:rFonts w:eastAsia="TimesNewRomanPS-BoldMT"/>
              </w:rPr>
            </w:pPr>
            <w:r w:rsidRPr="00854C99">
              <w:rPr>
                <w:rFonts w:eastAsia="TimesNewRomanPS-BoldMT"/>
              </w:rPr>
              <w:t>Kunicki-Goldfinger W.J.H. „Życie bakterii”. PWN, 2001.</w:t>
            </w:r>
          </w:p>
          <w:p w14:paraId="6009929F" w14:textId="77777777" w:rsidR="001E1D5B" w:rsidRPr="00854C99" w:rsidRDefault="00F95CE2">
            <w:pPr>
              <w:numPr>
                <w:ilvl w:val="0"/>
                <w:numId w:val="1"/>
              </w:numPr>
              <w:spacing w:after="200" w:line="276" w:lineRule="auto"/>
              <w:jc w:val="both"/>
              <w:rPr>
                <w:rFonts w:eastAsia="TimesNewRomanPS-BoldMT"/>
              </w:rPr>
            </w:pPr>
            <w:r w:rsidRPr="00854C99">
              <w:rPr>
                <w:rFonts w:eastAsia="TimesNewRomanPS-BoldMT"/>
              </w:rPr>
              <w:t>Schlegel H.G. „Mikrobiologia ogólna”. PWN,  2003.</w:t>
            </w:r>
          </w:p>
          <w:p w14:paraId="600992A0" w14:textId="77777777" w:rsidR="001E1D5B" w:rsidRPr="00854C99" w:rsidRDefault="00F95CE2">
            <w:pPr>
              <w:numPr>
                <w:ilvl w:val="0"/>
                <w:numId w:val="1"/>
              </w:numPr>
              <w:spacing w:after="200" w:line="276" w:lineRule="auto"/>
              <w:jc w:val="both"/>
              <w:rPr>
                <w:rFonts w:eastAsia="Times-Roman"/>
              </w:rPr>
            </w:pPr>
            <w:r w:rsidRPr="00854C99">
              <w:rPr>
                <w:rFonts w:eastAsia="Times-Roman"/>
              </w:rPr>
              <w:t>Baran E. (red): Mikologia – co nowego? Wyd. Cornetis, Wrocław, 2008</w:t>
            </w:r>
          </w:p>
          <w:p w14:paraId="600992A1" w14:textId="77777777" w:rsidR="001E1D5B" w:rsidRPr="00854C99" w:rsidRDefault="001E1D5B">
            <w:pPr>
              <w:rPr>
                <w:i/>
              </w:rPr>
            </w:pPr>
          </w:p>
          <w:p w14:paraId="600992A2" w14:textId="77777777" w:rsidR="001E1D5B" w:rsidRPr="00854C99" w:rsidRDefault="00F95CE2">
            <w:r w:rsidRPr="00854C99">
              <w:rPr>
                <w:i/>
              </w:rPr>
              <w:t xml:space="preserve">Literatura uzupełniająca: Zeszyty  Postępy </w:t>
            </w:r>
            <w:r w:rsidRPr="00854C99">
              <w:rPr>
                <w:i/>
              </w:rPr>
              <w:lastRenderedPageBreak/>
              <w:t>Mikrobiologii</w:t>
            </w:r>
          </w:p>
        </w:tc>
      </w:tr>
      <w:tr w:rsidR="001E1D5B" w14:paraId="600992A6" w14:textId="77777777"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992A4" w14:textId="77777777" w:rsidR="001E1D5B" w:rsidRDefault="00F95CE2">
            <w:r>
              <w:lastRenderedPageBreak/>
              <w:t>Planowane formy/działania/metody dydaktyczne</w:t>
            </w:r>
          </w:p>
        </w:tc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992A5" w14:textId="77777777" w:rsidR="001E1D5B" w:rsidRDefault="00F95CE2">
            <w:r>
              <w:t>Wykład, ćwiczenia laboratoryjne, samodzielne wykonywanie preparatów, wykonywanie posiewów i ich interpretacja, barwienie, odczyty posiewów,</w:t>
            </w:r>
          </w:p>
        </w:tc>
      </w:tr>
      <w:tr w:rsidR="001E1D5B" w14:paraId="600992BC" w14:textId="77777777"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992A7" w14:textId="77777777" w:rsidR="001E1D5B" w:rsidRDefault="00F95CE2">
            <w:r>
              <w:t>Sposoby weryfikacji oraz formy dokumentowania osiągniętych efektów uczenia się</w:t>
            </w:r>
          </w:p>
        </w:tc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992A8" w14:textId="77777777" w:rsidR="001E1D5B" w:rsidRDefault="00F95CE2">
            <w:pPr>
              <w:rPr>
                <w:i/>
                <w:u w:val="single"/>
              </w:rPr>
            </w:pPr>
            <w:r>
              <w:rPr>
                <w:i/>
                <w:sz w:val="22"/>
                <w:szCs w:val="22"/>
                <w:u w:val="single"/>
              </w:rPr>
              <w:t>SPOSOBY WERYFIKACJI:</w:t>
            </w:r>
          </w:p>
          <w:p w14:paraId="600992A9" w14:textId="317B8B12" w:rsidR="001E1D5B" w:rsidRDefault="00F95CE2">
            <w:pPr>
              <w:rPr>
                <w:i/>
              </w:rPr>
            </w:pPr>
            <w:r>
              <w:rPr>
                <w:i/>
                <w:sz w:val="22"/>
                <w:szCs w:val="22"/>
              </w:rPr>
              <w:t>W1 – ocena kolokwium ustnego, ocena zaliczenia (na prawach egzaminu) pisemnego – test jednokrotnego wyboru z materiału wykładowego</w:t>
            </w:r>
          </w:p>
          <w:p w14:paraId="600992AA" w14:textId="3CC72A29" w:rsidR="001E1D5B" w:rsidRDefault="00F95CE2">
            <w:pPr>
              <w:rPr>
                <w:i/>
              </w:rPr>
            </w:pPr>
            <w:r>
              <w:rPr>
                <w:i/>
                <w:sz w:val="22"/>
                <w:szCs w:val="22"/>
              </w:rPr>
              <w:t>W2 – ocena zaliczenia  pisemnego – test jednokrotnego wyboru</w:t>
            </w:r>
          </w:p>
          <w:p w14:paraId="600992AB" w14:textId="011771B6" w:rsidR="001E1D5B" w:rsidRDefault="00F95CE2">
            <w:pPr>
              <w:pStyle w:val="Tekstkomentarza"/>
              <w:spacing w:after="0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W3 - </w:t>
            </w:r>
            <w:r>
              <w:rPr>
                <w:i/>
                <w:sz w:val="22"/>
                <w:szCs w:val="22"/>
              </w:rPr>
              <w:t>ocena kolokwium ustnego, ocena zaliczenia (na prawach egzaminu) pisemnego –</w:t>
            </w:r>
            <w:r w:rsidR="008C3D8E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test jednokrotnego wyboru z materiału wykładowego</w:t>
            </w:r>
          </w:p>
          <w:p w14:paraId="600992AC" w14:textId="77777777" w:rsidR="001E1D5B" w:rsidRDefault="00F95CE2">
            <w:pPr>
              <w:pStyle w:val="Tekstkomentarza"/>
              <w:spacing w:after="0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U1 –  3 -4 (lub więcej) oceny za praktyczne umiejętności w wykonaniu ćwiczeń  i ich interpretacji</w:t>
            </w:r>
          </w:p>
          <w:p w14:paraId="600992AD" w14:textId="77777777" w:rsidR="001E1D5B" w:rsidRDefault="00F95CE2">
            <w:pPr>
              <w:pStyle w:val="Tekstkomentarza"/>
              <w:spacing w:after="0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U2 - </w:t>
            </w:r>
            <w:r>
              <w:rPr>
                <w:i/>
                <w:sz w:val="22"/>
                <w:szCs w:val="22"/>
              </w:rPr>
              <w:t>ocena zaliczenia (na prawach egzaminu) pisemnego – test jednokrotnego wyboru z materiału wykładowego</w:t>
            </w:r>
          </w:p>
          <w:p w14:paraId="600992AE" w14:textId="77777777" w:rsidR="001E1D5B" w:rsidRDefault="001E1D5B">
            <w:pPr>
              <w:pStyle w:val="Tekstkomentarza"/>
              <w:spacing w:after="0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14:paraId="600992AF" w14:textId="77777777" w:rsidR="001E1D5B" w:rsidRDefault="00F95CE2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K1 – ocena udziału w dyskusji</w:t>
            </w:r>
          </w:p>
          <w:p w14:paraId="600992B0" w14:textId="77777777" w:rsidR="001E1D5B" w:rsidRDefault="00F95CE2">
            <w:pPr>
              <w:rPr>
                <w:i/>
              </w:rPr>
            </w:pPr>
            <w:r>
              <w:rPr>
                <w:i/>
                <w:sz w:val="22"/>
                <w:szCs w:val="22"/>
              </w:rPr>
              <w:t>K2 - ocena udziału w dyskusji</w:t>
            </w:r>
          </w:p>
          <w:p w14:paraId="600992B1" w14:textId="77777777" w:rsidR="001E1D5B" w:rsidRDefault="001E1D5B">
            <w:pPr>
              <w:rPr>
                <w:i/>
              </w:rPr>
            </w:pPr>
          </w:p>
          <w:p w14:paraId="600992B2" w14:textId="77777777" w:rsidR="001E1D5B" w:rsidRDefault="00F95CE2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  <w:u w:val="single"/>
              </w:rPr>
              <w:t xml:space="preserve">DOKUMENTOWANIE OSIĄGNIĘTYCH EFEKTÓW UCZENIA SIĘ </w:t>
            </w:r>
            <w:r>
              <w:rPr>
                <w:i/>
                <w:sz w:val="22"/>
                <w:szCs w:val="22"/>
              </w:rPr>
              <w:t>w formie: prace etapowe: zaliczenia cząstkowe</w:t>
            </w:r>
          </w:p>
          <w:p w14:paraId="600992B3" w14:textId="77777777" w:rsidR="001E1D5B" w:rsidRDefault="00F95CE2">
            <w:pPr>
              <w:rPr>
                <w:i/>
              </w:rPr>
            </w:pPr>
            <w:r>
              <w:rPr>
                <w:i/>
                <w:sz w:val="22"/>
                <w:szCs w:val="22"/>
              </w:rPr>
              <w:t>prace końcowe: zaliczenia formie papierowej lub cyfrowej; dziennik prowadzącego</w:t>
            </w:r>
          </w:p>
          <w:p w14:paraId="600992B4" w14:textId="77777777" w:rsidR="001E1D5B" w:rsidRDefault="001E1D5B">
            <w:pPr>
              <w:rPr>
                <w:i/>
                <w:sz w:val="22"/>
                <w:szCs w:val="22"/>
              </w:rPr>
            </w:pPr>
          </w:p>
          <w:p w14:paraId="600992B5" w14:textId="77777777" w:rsidR="001E1D5B" w:rsidRDefault="00F95CE2">
            <w:pPr>
              <w:rPr>
                <w:i/>
              </w:rPr>
            </w:pPr>
            <w:r>
              <w:rPr>
                <w:i/>
                <w:sz w:val="22"/>
                <w:szCs w:val="22"/>
              </w:rPr>
              <w:t>Szczegółowe kryteria przy ocenie zaliczenia i prac kontrolnych</w:t>
            </w:r>
          </w:p>
          <w:p w14:paraId="600992B6" w14:textId="77777777" w:rsidR="001E1D5B" w:rsidRDefault="00F95CE2">
            <w:pPr>
              <w:pStyle w:val="Akapitzlist"/>
              <w:numPr>
                <w:ilvl w:val="0"/>
                <w:numId w:val="2"/>
              </w:numPr>
              <w:ind w:left="197" w:hanging="218"/>
              <w:jc w:val="both"/>
              <w:rPr>
                <w:i/>
              </w:rPr>
            </w:pPr>
            <w:r>
              <w:rPr>
                <w:i/>
                <w:sz w:val="22"/>
                <w:szCs w:val="22"/>
              </w:rPr>
              <w:t>student wykazuje dostateczny (3,0) stopień wiedzy, umiejętności lub kompetencji, gdy uzyskuje od 51 do 60% sumy punktów określających maksymalny poziom wiedzy lub umiejętności z danego przedmiotu (odpowiednio, przy zaliczeniu cząstkowym – jego części),</w:t>
            </w:r>
          </w:p>
          <w:p w14:paraId="600992B7" w14:textId="77777777" w:rsidR="001E1D5B" w:rsidRDefault="00F95CE2">
            <w:pPr>
              <w:pStyle w:val="Akapitzlist"/>
              <w:numPr>
                <w:ilvl w:val="0"/>
                <w:numId w:val="2"/>
              </w:numPr>
              <w:ind w:left="197" w:hanging="218"/>
              <w:jc w:val="both"/>
              <w:rPr>
                <w:i/>
              </w:rPr>
            </w:pPr>
            <w:r>
              <w:rPr>
                <w:i/>
                <w:sz w:val="22"/>
                <w:szCs w:val="22"/>
              </w:rPr>
              <w:t>student wykazuje dostateczny plus (3,5) stopień wiedzy, umiejętności lub kompetencji, gdy uzyskuje od 61 do 70% sumy punktów określających maksymalny poziom wiedzy lub umiejętności z danego przedmiotu (odpowiednio – jego części),</w:t>
            </w:r>
          </w:p>
          <w:p w14:paraId="600992B8" w14:textId="77777777" w:rsidR="001E1D5B" w:rsidRDefault="00F95CE2">
            <w:pPr>
              <w:pStyle w:val="Akapitzlist"/>
              <w:numPr>
                <w:ilvl w:val="0"/>
                <w:numId w:val="2"/>
              </w:numPr>
              <w:ind w:left="197" w:hanging="218"/>
              <w:jc w:val="both"/>
              <w:rPr>
                <w:i/>
              </w:rPr>
            </w:pPr>
            <w:r>
              <w:rPr>
                <w:i/>
                <w:sz w:val="22"/>
                <w:szCs w:val="22"/>
              </w:rPr>
              <w:t>student wykazuje dobry stopień (4,0) wiedzy, umiejętności lub kompetencji, gdy uzyskuje od 71 do 80% sumy punktów określających maksymalny poziom wiedzy lub umiejętności z danego przedmiotu (odpowiednio – jego części),</w:t>
            </w:r>
          </w:p>
          <w:p w14:paraId="600992B9" w14:textId="77777777" w:rsidR="001E1D5B" w:rsidRDefault="00F95CE2">
            <w:pPr>
              <w:pStyle w:val="Akapitzlist"/>
              <w:numPr>
                <w:ilvl w:val="0"/>
                <w:numId w:val="2"/>
              </w:numPr>
              <w:ind w:left="197" w:hanging="218"/>
              <w:jc w:val="both"/>
              <w:rPr>
                <w:rFonts w:eastAsiaTheme="minorHAnsi"/>
                <w:i/>
              </w:rPr>
            </w:pPr>
            <w:r>
              <w:rPr>
                <w:i/>
                <w:sz w:val="22"/>
                <w:szCs w:val="22"/>
              </w:rPr>
              <w:t>student wykazuje plus dobry stopień (4,5) wiedzy, umiejętności lub kompetencji, gdy uzyskuje od 81 do 90% sumy punktów określających maksymalny poziom wiedzy lub umiejętności z danego przedmiotu (odpowiednio – jego części),</w:t>
            </w:r>
          </w:p>
          <w:p w14:paraId="600992BA" w14:textId="77777777" w:rsidR="001E1D5B" w:rsidRDefault="00F95CE2">
            <w:pPr>
              <w:pStyle w:val="Akapitzlist"/>
              <w:numPr>
                <w:ilvl w:val="0"/>
                <w:numId w:val="2"/>
              </w:numPr>
              <w:ind w:left="197" w:hanging="218"/>
              <w:jc w:val="both"/>
              <w:rPr>
                <w:rFonts w:eastAsiaTheme="minorHAnsi"/>
                <w:i/>
              </w:rPr>
            </w:pPr>
            <w:r>
              <w:rPr>
                <w:i/>
                <w:sz w:val="22"/>
                <w:szCs w:val="22"/>
              </w:rPr>
              <w:t xml:space="preserve">student wykazuje bardzo dobry stopień (5,0) wiedzy, umiejętności lub kompetencji, gdy uzyskuje powyżej 91% sumy punktów określających maksymalny poziom wiedzy lub umiejętności z danego przedmiotu </w:t>
            </w:r>
            <w:r>
              <w:rPr>
                <w:i/>
                <w:sz w:val="22"/>
                <w:szCs w:val="22"/>
              </w:rPr>
              <w:lastRenderedPageBreak/>
              <w:t>(odpowiednio – jego części).</w:t>
            </w:r>
          </w:p>
          <w:p w14:paraId="600992BB" w14:textId="77777777" w:rsidR="001E1D5B" w:rsidRDefault="001E1D5B">
            <w:pPr>
              <w:pStyle w:val="Akapitzlist"/>
              <w:ind w:left="197"/>
              <w:jc w:val="both"/>
              <w:rPr>
                <w:rFonts w:eastAsiaTheme="minorHAnsi"/>
                <w:i/>
              </w:rPr>
            </w:pPr>
          </w:p>
        </w:tc>
      </w:tr>
      <w:tr w:rsidR="001E1D5B" w14:paraId="600992C1" w14:textId="77777777"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992BD" w14:textId="77777777" w:rsidR="001E1D5B" w:rsidRDefault="00F95CE2">
            <w:r>
              <w:lastRenderedPageBreak/>
              <w:t>Elementy i wagi mające wpływ na ocenę końcową</w:t>
            </w:r>
          </w:p>
          <w:p w14:paraId="600992BE" w14:textId="77777777" w:rsidR="001E1D5B" w:rsidRDefault="001E1D5B"/>
          <w:p w14:paraId="600992BF" w14:textId="77777777" w:rsidR="001E1D5B" w:rsidRDefault="001E1D5B"/>
        </w:tc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992C0" w14:textId="77777777" w:rsidR="001E1D5B" w:rsidRDefault="00F95CE2">
            <w:pPr>
              <w:jc w:val="both"/>
            </w:pPr>
            <w:r>
              <w:rPr>
                <w:i/>
                <w:sz w:val="22"/>
                <w:szCs w:val="22"/>
              </w:rPr>
              <w:t>Ocena końcowa: 1/3 średnia arytmetyczna z ocen uzyskanych na ćwiczeniach (oceny sprawdzianów oraz oceny aktywności – pracy grupowej/indywidualnej, oceny z referatu, itp., średnia z ćwiczeń może być podniesiona o 0,5 za aktywność) + 2/3 ocena z zaliczenia wykładów (test).   Warunki te są przedstawiane na pierwszych zajęciach z modułu</w:t>
            </w:r>
          </w:p>
        </w:tc>
      </w:tr>
      <w:tr w:rsidR="001E1D5B" w14:paraId="600992D2" w14:textId="77777777">
        <w:trPr>
          <w:trHeight w:val="2324"/>
        </w:trPr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992C2" w14:textId="77777777" w:rsidR="001E1D5B" w:rsidRDefault="00F95CE2">
            <w:pPr>
              <w:jc w:val="both"/>
            </w:pPr>
            <w:r>
              <w:t>Bilans punktów ECTS</w:t>
            </w:r>
          </w:p>
        </w:tc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992C3" w14:textId="77777777" w:rsidR="001E1D5B" w:rsidRDefault="001E1D5B">
            <w:pPr>
              <w:rPr>
                <w:i/>
              </w:rPr>
            </w:pPr>
          </w:p>
          <w:p w14:paraId="600992C4" w14:textId="77777777" w:rsidR="001E1D5B" w:rsidRDefault="00F95CE2">
            <w:pPr>
              <w:rPr>
                <w:i/>
              </w:rPr>
            </w:pPr>
            <w:r>
              <w:rPr>
                <w:b/>
                <w:i/>
                <w:sz w:val="22"/>
                <w:szCs w:val="22"/>
              </w:rPr>
              <w:t>Kontaktowe</w:t>
            </w:r>
          </w:p>
          <w:p w14:paraId="600992C5" w14:textId="77777777" w:rsidR="001E1D5B" w:rsidRPr="00ED32FD" w:rsidRDefault="00F95CE2">
            <w:pPr>
              <w:pStyle w:val="Akapitzlist"/>
              <w:numPr>
                <w:ilvl w:val="0"/>
                <w:numId w:val="3"/>
              </w:numPr>
              <w:ind w:left="480"/>
              <w:rPr>
                <w:i/>
              </w:rPr>
            </w:pPr>
            <w:r w:rsidRPr="00ED32FD">
              <w:rPr>
                <w:i/>
                <w:sz w:val="22"/>
                <w:szCs w:val="22"/>
              </w:rPr>
              <w:t>wykład (15 godz./0,6 ECTS),</w:t>
            </w:r>
          </w:p>
          <w:p w14:paraId="600992C6" w14:textId="77777777" w:rsidR="001E1D5B" w:rsidRPr="00ED32FD" w:rsidRDefault="00F95CE2">
            <w:pPr>
              <w:pStyle w:val="Akapitzlist"/>
              <w:numPr>
                <w:ilvl w:val="0"/>
                <w:numId w:val="3"/>
              </w:numPr>
              <w:ind w:left="480"/>
              <w:rPr>
                <w:i/>
              </w:rPr>
            </w:pPr>
            <w:r w:rsidRPr="00ED32FD">
              <w:rPr>
                <w:i/>
                <w:sz w:val="22"/>
                <w:szCs w:val="22"/>
              </w:rPr>
              <w:t>ćwiczenia (27  godz./1,08 ECTS),</w:t>
            </w:r>
          </w:p>
          <w:p w14:paraId="600992C7" w14:textId="77777777" w:rsidR="001E1D5B" w:rsidRPr="00ED32FD" w:rsidRDefault="00F95CE2">
            <w:pPr>
              <w:pStyle w:val="Akapitzlist"/>
              <w:numPr>
                <w:ilvl w:val="0"/>
                <w:numId w:val="3"/>
              </w:numPr>
              <w:ind w:left="480"/>
              <w:rPr>
                <w:i/>
              </w:rPr>
            </w:pPr>
            <w:r w:rsidRPr="00ED32FD">
              <w:rPr>
                <w:i/>
                <w:sz w:val="22"/>
                <w:szCs w:val="22"/>
              </w:rPr>
              <w:t>kolokwium z ćwiczeń (3 godz./0,12ECTS)</w:t>
            </w:r>
          </w:p>
          <w:p w14:paraId="600992C8" w14:textId="77777777" w:rsidR="001E1D5B" w:rsidRPr="00ED32FD" w:rsidRDefault="00F95CE2">
            <w:pPr>
              <w:pStyle w:val="Akapitzlist"/>
              <w:numPr>
                <w:ilvl w:val="0"/>
                <w:numId w:val="3"/>
              </w:numPr>
              <w:ind w:left="480"/>
              <w:rPr>
                <w:i/>
              </w:rPr>
            </w:pPr>
            <w:r w:rsidRPr="00ED32FD">
              <w:rPr>
                <w:i/>
                <w:sz w:val="22"/>
                <w:szCs w:val="22"/>
              </w:rPr>
              <w:t>konsultacje ( 5 godz./0,2 ECTS),</w:t>
            </w:r>
          </w:p>
          <w:p w14:paraId="600992C9" w14:textId="77777777" w:rsidR="001E1D5B" w:rsidRDefault="00F95CE2">
            <w:pPr>
              <w:ind w:left="120"/>
              <w:rPr>
                <w:i/>
              </w:rPr>
            </w:pPr>
            <w:r w:rsidRPr="00ED32FD">
              <w:rPr>
                <w:i/>
                <w:sz w:val="22"/>
                <w:szCs w:val="22"/>
              </w:rPr>
              <w:t>Łącznie</w:t>
            </w:r>
            <w:r>
              <w:rPr>
                <w:i/>
                <w:sz w:val="22"/>
                <w:szCs w:val="22"/>
              </w:rPr>
              <w:t xml:space="preserve"> – 50 godz./2 ECTS</w:t>
            </w:r>
          </w:p>
          <w:p w14:paraId="600992CA" w14:textId="77777777" w:rsidR="001E1D5B" w:rsidRDefault="001E1D5B">
            <w:pPr>
              <w:rPr>
                <w:b/>
                <w:i/>
              </w:rPr>
            </w:pPr>
          </w:p>
          <w:p w14:paraId="600992CB" w14:textId="77777777" w:rsidR="001E1D5B" w:rsidRPr="00854C99" w:rsidRDefault="00F95CE2">
            <w:pPr>
              <w:rPr>
                <w:b/>
                <w:i/>
              </w:rPr>
            </w:pPr>
            <w:r w:rsidRPr="00854C99">
              <w:rPr>
                <w:b/>
                <w:i/>
                <w:sz w:val="22"/>
                <w:szCs w:val="22"/>
              </w:rPr>
              <w:t>Niekontaktowe</w:t>
            </w:r>
          </w:p>
          <w:p w14:paraId="600992CC" w14:textId="77777777" w:rsidR="001E1D5B" w:rsidRPr="00854C99" w:rsidRDefault="00F95CE2">
            <w:pPr>
              <w:pStyle w:val="Akapitzlist"/>
              <w:numPr>
                <w:ilvl w:val="0"/>
                <w:numId w:val="4"/>
              </w:numPr>
              <w:ind w:left="480"/>
              <w:rPr>
                <w:i/>
              </w:rPr>
            </w:pPr>
            <w:r w:rsidRPr="00854C99">
              <w:rPr>
                <w:i/>
                <w:sz w:val="22"/>
                <w:szCs w:val="22"/>
              </w:rPr>
              <w:t>przygotowanie do zajęć (30 godz./1,2 ECTS),</w:t>
            </w:r>
          </w:p>
          <w:p w14:paraId="600992CD" w14:textId="77777777" w:rsidR="001E1D5B" w:rsidRPr="00854C99" w:rsidRDefault="00F95CE2">
            <w:pPr>
              <w:pStyle w:val="Akapitzlist"/>
              <w:numPr>
                <w:ilvl w:val="0"/>
                <w:numId w:val="4"/>
              </w:numPr>
              <w:ind w:left="480"/>
              <w:rPr>
                <w:i/>
              </w:rPr>
            </w:pPr>
            <w:r w:rsidRPr="00854C99">
              <w:rPr>
                <w:i/>
                <w:sz w:val="22"/>
                <w:szCs w:val="22"/>
              </w:rPr>
              <w:t>studiowanie literatury (10 godz./0,4 ECTS),</w:t>
            </w:r>
          </w:p>
          <w:p w14:paraId="600992CE" w14:textId="77777777" w:rsidR="001E1D5B" w:rsidRPr="00854C99" w:rsidRDefault="00F95CE2">
            <w:pPr>
              <w:pStyle w:val="Akapitzlist"/>
              <w:numPr>
                <w:ilvl w:val="0"/>
                <w:numId w:val="4"/>
              </w:numPr>
              <w:ind w:left="480"/>
              <w:rPr>
                <w:i/>
              </w:rPr>
            </w:pPr>
            <w:r w:rsidRPr="00854C99">
              <w:rPr>
                <w:i/>
                <w:sz w:val="22"/>
                <w:szCs w:val="22"/>
              </w:rPr>
              <w:t>przygotowanie do zaliczenia z wykładów   (10 godz./0,4),</w:t>
            </w:r>
          </w:p>
          <w:p w14:paraId="600992CF" w14:textId="77777777" w:rsidR="001E1D5B" w:rsidRPr="00854C99" w:rsidRDefault="00F95CE2">
            <w:pPr>
              <w:pStyle w:val="Akapitzlist"/>
              <w:numPr>
                <w:ilvl w:val="0"/>
                <w:numId w:val="4"/>
              </w:numPr>
              <w:ind w:left="480"/>
            </w:pPr>
            <w:r w:rsidRPr="00854C99">
              <w:rPr>
                <w:i/>
                <w:sz w:val="22"/>
                <w:szCs w:val="22"/>
              </w:rPr>
              <w:t>inne</w:t>
            </w:r>
          </w:p>
          <w:p w14:paraId="600992D0" w14:textId="77777777" w:rsidR="001E1D5B" w:rsidRPr="00854C99" w:rsidRDefault="00F95CE2">
            <w:pPr>
              <w:ind w:left="120"/>
              <w:rPr>
                <w:i/>
              </w:rPr>
            </w:pPr>
            <w:r w:rsidRPr="00854C99">
              <w:rPr>
                <w:i/>
                <w:sz w:val="22"/>
                <w:szCs w:val="22"/>
              </w:rPr>
              <w:t>Łącznie 50 godz./2,0 ECTS</w:t>
            </w:r>
          </w:p>
          <w:p w14:paraId="600992D1" w14:textId="77777777" w:rsidR="001E1D5B" w:rsidRDefault="001E1D5B">
            <w:pPr>
              <w:jc w:val="both"/>
            </w:pPr>
          </w:p>
        </w:tc>
      </w:tr>
      <w:tr w:rsidR="001E1D5B" w14:paraId="600992D6" w14:textId="77777777">
        <w:trPr>
          <w:trHeight w:val="718"/>
        </w:trPr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992D3" w14:textId="77777777" w:rsidR="001E1D5B" w:rsidRDefault="00F95CE2">
            <w:r>
              <w:t>Nakład pracy związany z zajęciami wymagającymi bezpośredniego udziału nauczyciela akademickiego</w:t>
            </w:r>
          </w:p>
        </w:tc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992D4" w14:textId="77777777" w:rsidR="001E1D5B" w:rsidRDefault="00F95CE2">
            <w:pPr>
              <w:jc w:val="both"/>
              <w:rPr>
                <w:i/>
              </w:rPr>
            </w:pPr>
            <w:r>
              <w:rPr>
                <w:i/>
                <w:sz w:val="22"/>
                <w:szCs w:val="22"/>
              </w:rPr>
              <w:t>udział w wykładach – 15 godz.; w ćwiczeniach – 30 godz.; konsultacjach – 5  godz.</w:t>
            </w:r>
          </w:p>
          <w:p w14:paraId="600992D5" w14:textId="77777777" w:rsidR="001E1D5B" w:rsidRDefault="001E1D5B">
            <w:pPr>
              <w:jc w:val="both"/>
            </w:pPr>
          </w:p>
        </w:tc>
      </w:tr>
    </w:tbl>
    <w:p w14:paraId="600992D7" w14:textId="77777777" w:rsidR="001E1D5B" w:rsidRDefault="001E1D5B"/>
    <w:p w14:paraId="600992D8" w14:textId="77777777" w:rsidR="001E1D5B" w:rsidRDefault="001E1D5B"/>
    <w:p w14:paraId="600992D9" w14:textId="77777777" w:rsidR="001E1D5B" w:rsidRDefault="001E1D5B"/>
    <w:p w14:paraId="600992DA" w14:textId="77777777" w:rsidR="001E1D5B" w:rsidRDefault="001E1D5B"/>
    <w:p w14:paraId="600992DB" w14:textId="77777777" w:rsidR="001E1D5B" w:rsidRDefault="001E1D5B">
      <w:pPr>
        <w:rPr>
          <w:i/>
          <w:iCs/>
        </w:rPr>
      </w:pPr>
    </w:p>
    <w:p w14:paraId="600992DC" w14:textId="77777777" w:rsidR="001E1D5B" w:rsidRDefault="001E1D5B">
      <w:pPr>
        <w:rPr>
          <w:iCs/>
        </w:rPr>
      </w:pPr>
    </w:p>
    <w:p w14:paraId="600992DD" w14:textId="77777777" w:rsidR="001E1D5B" w:rsidRDefault="001E1D5B"/>
    <w:sectPr w:rsidR="001E1D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078" w:left="1418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F876F" w14:textId="77777777" w:rsidR="00EE354A" w:rsidRDefault="00EE354A">
      <w:r>
        <w:separator/>
      </w:r>
    </w:p>
  </w:endnote>
  <w:endnote w:type="continuationSeparator" w:id="0">
    <w:p w14:paraId="0D31111D" w14:textId="77777777" w:rsidR="00EE354A" w:rsidRDefault="00EE3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NewRomanPSMT">
    <w:panose1 w:val="00000000000000000000"/>
    <w:charset w:val="00"/>
    <w:family w:val="roman"/>
    <w:notTrueType/>
    <w:pitch w:val="default"/>
  </w:font>
  <w:font w:name="TimesNewRomanPS-BoldMT">
    <w:panose1 w:val="00000000000000000000"/>
    <w:charset w:val="00"/>
    <w:family w:val="roman"/>
    <w:notTrueType/>
    <w:pitch w:val="default"/>
  </w:font>
  <w:font w:name="Times-Roman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992E0" w14:textId="77777777" w:rsidR="001E1D5B" w:rsidRDefault="001E1D5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0082579"/>
      <w:docPartObj>
        <w:docPartGallery w:val="Page Numbers (Top of Page)"/>
        <w:docPartUnique/>
      </w:docPartObj>
    </w:sdtPr>
    <w:sdtEndPr/>
    <w:sdtContent>
      <w:p w14:paraId="600992E1" w14:textId="77777777" w:rsidR="001E1D5B" w:rsidRDefault="00F95CE2">
        <w:pPr>
          <w:pStyle w:val="Stopka"/>
          <w:jc w:val="right"/>
        </w:pPr>
        <w:r>
          <w:rPr>
            <w:bCs/>
          </w:rPr>
          <w:fldChar w:fldCharType="begin"/>
        </w:r>
        <w:r>
          <w:rPr>
            <w:bCs/>
          </w:rPr>
          <w:instrText xml:space="preserve"> PAGE </w:instrText>
        </w:r>
        <w:r>
          <w:rPr>
            <w:bCs/>
          </w:rPr>
          <w:fldChar w:fldCharType="separate"/>
        </w:r>
        <w:r>
          <w:rPr>
            <w:bCs/>
          </w:rPr>
          <w:t>2</w:t>
        </w:r>
        <w:r>
          <w:rPr>
            <w:bCs/>
          </w:rPr>
          <w:fldChar w:fldCharType="end"/>
        </w:r>
        <w:r>
          <w:rPr>
            <w:bCs/>
          </w:rPr>
          <w:t>/</w:t>
        </w:r>
        <w:r>
          <w:rPr>
            <w:bCs/>
          </w:rPr>
          <w:fldChar w:fldCharType="begin"/>
        </w:r>
        <w:r>
          <w:rPr>
            <w:bCs/>
          </w:rPr>
          <w:instrText xml:space="preserve"> NUMPAGES </w:instrText>
        </w:r>
        <w:r>
          <w:rPr>
            <w:bCs/>
          </w:rPr>
          <w:fldChar w:fldCharType="separate"/>
        </w:r>
        <w:r>
          <w:rPr>
            <w:bCs/>
          </w:rPr>
          <w:t>4</w:t>
        </w:r>
        <w:r>
          <w:rPr>
            <w:bCs/>
          </w:rPr>
          <w:fldChar w:fldCharType="end"/>
        </w:r>
      </w:p>
    </w:sdtContent>
  </w:sdt>
  <w:p w14:paraId="600992E2" w14:textId="77777777" w:rsidR="001E1D5B" w:rsidRDefault="001E1D5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8959995"/>
      <w:docPartObj>
        <w:docPartGallery w:val="Page Numbers (Top of Page)"/>
        <w:docPartUnique/>
      </w:docPartObj>
    </w:sdtPr>
    <w:sdtEndPr/>
    <w:sdtContent>
      <w:p w14:paraId="600992E7" w14:textId="77777777" w:rsidR="001E1D5B" w:rsidRDefault="00F95CE2">
        <w:pPr>
          <w:pStyle w:val="Stopka"/>
          <w:jc w:val="right"/>
        </w:pPr>
        <w:r>
          <w:rPr>
            <w:bCs/>
          </w:rPr>
          <w:fldChar w:fldCharType="begin"/>
        </w:r>
        <w:r>
          <w:rPr>
            <w:bCs/>
          </w:rPr>
          <w:instrText xml:space="preserve"> PAGE </w:instrText>
        </w:r>
        <w:r>
          <w:rPr>
            <w:bCs/>
          </w:rPr>
          <w:fldChar w:fldCharType="separate"/>
        </w:r>
        <w:r>
          <w:rPr>
            <w:bCs/>
          </w:rPr>
          <w:t>1</w:t>
        </w:r>
        <w:r>
          <w:rPr>
            <w:bCs/>
          </w:rPr>
          <w:fldChar w:fldCharType="end"/>
        </w:r>
        <w:r>
          <w:rPr>
            <w:bCs/>
          </w:rPr>
          <w:t>/</w:t>
        </w:r>
        <w:r>
          <w:rPr>
            <w:bCs/>
          </w:rPr>
          <w:fldChar w:fldCharType="begin"/>
        </w:r>
        <w:r>
          <w:rPr>
            <w:bCs/>
          </w:rPr>
          <w:instrText xml:space="preserve"> NUMPAGES </w:instrText>
        </w:r>
        <w:r>
          <w:rPr>
            <w:bCs/>
          </w:rPr>
          <w:fldChar w:fldCharType="separate"/>
        </w:r>
        <w:r>
          <w:rPr>
            <w:bCs/>
          </w:rPr>
          <w:t>4</w:t>
        </w:r>
        <w:r>
          <w:rPr>
            <w:bCs/>
          </w:rPr>
          <w:fldChar w:fldCharType="end"/>
        </w:r>
      </w:p>
    </w:sdtContent>
  </w:sdt>
  <w:p w14:paraId="600992E8" w14:textId="77777777" w:rsidR="001E1D5B" w:rsidRDefault="001E1D5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71511" w14:textId="77777777" w:rsidR="00EE354A" w:rsidRDefault="00EE354A">
      <w:r>
        <w:separator/>
      </w:r>
    </w:p>
  </w:footnote>
  <w:footnote w:type="continuationSeparator" w:id="0">
    <w:p w14:paraId="4AFCAC63" w14:textId="77777777" w:rsidR="00EE354A" w:rsidRDefault="00EE35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992DE" w14:textId="77777777" w:rsidR="001E1D5B" w:rsidRDefault="001E1D5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992DF" w14:textId="77777777" w:rsidR="001E1D5B" w:rsidRDefault="001E1D5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992E3" w14:textId="77777777" w:rsidR="001E1D5B" w:rsidRDefault="00F95CE2">
    <w:pPr>
      <w:jc w:val="right"/>
      <w:rPr>
        <w:bCs/>
        <w:sz w:val="22"/>
        <w:szCs w:val="22"/>
      </w:rPr>
    </w:pPr>
    <w:r>
      <w:rPr>
        <w:bCs/>
        <w:sz w:val="22"/>
        <w:szCs w:val="22"/>
      </w:rPr>
      <w:t>Załącznik  nr 4 do Uchwały nr 3/2023-2024</w:t>
    </w:r>
  </w:p>
  <w:p w14:paraId="600992E4" w14:textId="77777777" w:rsidR="001E1D5B" w:rsidRDefault="00F95CE2">
    <w:pPr>
      <w:jc w:val="right"/>
      <w:rPr>
        <w:bCs/>
        <w:sz w:val="22"/>
        <w:szCs w:val="22"/>
      </w:rPr>
    </w:pPr>
    <w:r>
      <w:rPr>
        <w:bCs/>
        <w:sz w:val="22"/>
        <w:szCs w:val="22"/>
      </w:rPr>
      <w:t xml:space="preserve">                                                            Senatu UP w Lublinie z dnia 27 października 2023 r.</w:t>
    </w:r>
  </w:p>
  <w:p w14:paraId="600992E5" w14:textId="77777777" w:rsidR="001E1D5B" w:rsidRDefault="00F95CE2">
    <w:pPr>
      <w:tabs>
        <w:tab w:val="left" w:pos="5205"/>
      </w:tabs>
      <w:spacing w:after="120"/>
      <w:rPr>
        <w:bCs/>
      </w:rPr>
    </w:pPr>
    <w:r>
      <w:rPr>
        <w:bCs/>
      </w:rPr>
      <w:t xml:space="preserve"> </w:t>
    </w:r>
    <w:r>
      <w:rPr>
        <w:bCs/>
      </w:rPr>
      <w:tab/>
    </w:r>
  </w:p>
  <w:p w14:paraId="600992E6" w14:textId="77777777" w:rsidR="001E1D5B" w:rsidRDefault="001E1D5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15781"/>
    <w:multiLevelType w:val="multilevel"/>
    <w:tmpl w:val="550AD4C8"/>
    <w:lvl w:ilvl="0">
      <w:start w:val="1"/>
      <w:numFmt w:val="bullet"/>
      <w:lvlText w:val=""/>
      <w:lvlJc w:val="left"/>
      <w:pPr>
        <w:tabs>
          <w:tab w:val="num" w:pos="0"/>
        </w:tabs>
        <w:ind w:left="502" w:hanging="360"/>
      </w:pPr>
      <w:rPr>
        <w:rFonts w:ascii="Symbol" w:hAnsi="Symbol" w:cs="Symbol" w:hint="default"/>
        <w:i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1" w15:restartNumberingAfterBreak="0">
    <w:nsid w:val="297D4E0F"/>
    <w:multiLevelType w:val="multilevel"/>
    <w:tmpl w:val="9E4EC10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D657A67"/>
    <w:multiLevelType w:val="multilevel"/>
    <w:tmpl w:val="6FF0E4F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35579F6"/>
    <w:multiLevelType w:val="multilevel"/>
    <w:tmpl w:val="E776316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A39641F"/>
    <w:multiLevelType w:val="multilevel"/>
    <w:tmpl w:val="AE347E20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0" w:firstLine="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D5B"/>
    <w:rsid w:val="001E1D5B"/>
    <w:rsid w:val="0065721C"/>
    <w:rsid w:val="00854C99"/>
    <w:rsid w:val="008C3D8E"/>
    <w:rsid w:val="009755DC"/>
    <w:rsid w:val="00A84B3B"/>
    <w:rsid w:val="00BC582F"/>
    <w:rsid w:val="00ED32FD"/>
    <w:rsid w:val="00EE354A"/>
    <w:rsid w:val="00F95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99233"/>
  <w15:docId w15:val="{0B26ACD7-8AD5-43B7-90DE-068CF76A1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3A9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ps">
    <w:name w:val="hps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8D17BD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8D17BD"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Akapitzlist">
    <w:name w:val="List Paragraph"/>
    <w:basedOn w:val="Normalny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5D5E20-6B0B-4A0E-9638-D25346D33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942</Words>
  <Characters>5657</Characters>
  <Application>Microsoft Office Word</Application>
  <DocSecurity>0</DocSecurity>
  <Lines>47</Lines>
  <Paragraphs>13</Paragraphs>
  <ScaleCrop>false</ScaleCrop>
  <Company>Microsoft</Company>
  <LinksUpToDate>false</LinksUpToDate>
  <CharactersWithSpaces>6586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Paweł Żółkiewski</cp:lastModifiedBy>
  <cp:revision>12</cp:revision>
  <cp:lastPrinted>2023-11-03T07:34:00Z</cp:lastPrinted>
  <dcterms:created xsi:type="dcterms:W3CDTF">2023-11-03T07:29:00Z</dcterms:created>
  <dcterms:modified xsi:type="dcterms:W3CDTF">2026-01-15T09:55:00Z</dcterms:modified>
  <dc:language>pl-PL</dc:language>
</cp:coreProperties>
</file>