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4AD51" w14:textId="77777777" w:rsidR="008D17BD" w:rsidRPr="000A37AA" w:rsidRDefault="00B400C0" w:rsidP="00992D17">
      <w:pPr>
        <w:jc w:val="center"/>
        <w:rPr>
          <w:bCs/>
          <w:sz w:val="20"/>
          <w:szCs w:val="20"/>
        </w:rPr>
      </w:pPr>
      <w:r w:rsidRPr="000A37AA">
        <w:rPr>
          <w:sz w:val="20"/>
          <w:szCs w:val="20"/>
        </w:rPr>
        <w:t xml:space="preserve">                                                       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A30E70" w14:paraId="6567035E" w14:textId="77777777" w:rsidTr="000A37AA">
        <w:tc>
          <w:tcPr>
            <w:tcW w:w="3942" w:type="dxa"/>
            <w:shd w:val="clear" w:color="auto" w:fill="auto"/>
            <w:vAlign w:val="center"/>
          </w:tcPr>
          <w:p w14:paraId="6C89BBE3" w14:textId="77777777" w:rsidR="00023A99" w:rsidRPr="008722D3" w:rsidRDefault="00F02E5D" w:rsidP="004C0125">
            <w:r w:rsidRPr="008722D3">
              <w:t>Nazwa kierunku</w:t>
            </w:r>
            <w:r w:rsidR="00EC3848" w:rsidRPr="008722D3">
              <w:t xml:space="preserve"> </w:t>
            </w:r>
            <w:r w:rsidR="00023A99" w:rsidRPr="008722D3">
              <w:t>studiów</w:t>
            </w:r>
            <w:r w:rsidR="00B400C0" w:rsidRPr="008722D3">
              <w:t xml:space="preserve"> </w:t>
            </w:r>
          </w:p>
          <w:p w14:paraId="7AF9EDE5" w14:textId="77777777" w:rsidR="00B400C0" w:rsidRPr="008722D3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612862E6" w14:textId="77777777" w:rsidR="00023A99" w:rsidRPr="008722D3" w:rsidRDefault="00875918" w:rsidP="004C0125">
            <w:proofErr w:type="spellStart"/>
            <w:r w:rsidRPr="008722D3">
              <w:t>Animaloterapia</w:t>
            </w:r>
            <w:proofErr w:type="spellEnd"/>
          </w:p>
        </w:tc>
      </w:tr>
      <w:tr w:rsidR="00023A99" w:rsidRPr="00020206" w14:paraId="323D553C" w14:textId="77777777" w:rsidTr="000A37AA">
        <w:tc>
          <w:tcPr>
            <w:tcW w:w="3942" w:type="dxa"/>
            <w:shd w:val="clear" w:color="auto" w:fill="auto"/>
            <w:vAlign w:val="center"/>
          </w:tcPr>
          <w:p w14:paraId="3BF929FB" w14:textId="77777777" w:rsidR="00023A99" w:rsidRPr="008722D3" w:rsidRDefault="0092197E" w:rsidP="004C0125">
            <w:r w:rsidRPr="008722D3">
              <w:t>Nazwa modułu</w:t>
            </w:r>
            <w:r w:rsidR="00023A99" w:rsidRPr="008722D3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0CC4D2F" w14:textId="7A11BA96" w:rsidR="00A30E70" w:rsidRDefault="00927CC5" w:rsidP="004C0125">
            <w:r>
              <w:t>Przygotowanie do pracy z osobami o specjalnych potrzebach</w:t>
            </w:r>
          </w:p>
          <w:p w14:paraId="18B9FD76" w14:textId="2B0BC22A" w:rsidR="000D7701" w:rsidRPr="00D2184B" w:rsidRDefault="00927CC5" w:rsidP="004C0125">
            <w:pPr>
              <w:rPr>
                <w:lang w:val="en-US"/>
              </w:rPr>
            </w:pPr>
            <w:r w:rsidRPr="00D2184B">
              <w:rPr>
                <w:lang w:val="en-US"/>
              </w:rPr>
              <w:t>Preparation for working with people with special needs</w:t>
            </w:r>
          </w:p>
        </w:tc>
      </w:tr>
      <w:tr w:rsidR="00023A99" w:rsidRPr="00A30E70" w14:paraId="211DCF29" w14:textId="77777777" w:rsidTr="000A37AA">
        <w:tc>
          <w:tcPr>
            <w:tcW w:w="3942" w:type="dxa"/>
            <w:shd w:val="clear" w:color="auto" w:fill="auto"/>
            <w:vAlign w:val="center"/>
          </w:tcPr>
          <w:p w14:paraId="75FBAF91" w14:textId="77777777" w:rsidR="00B400C0" w:rsidRPr="008722D3" w:rsidRDefault="00023A99" w:rsidP="000A37AA">
            <w:r w:rsidRPr="008722D3">
              <w:t>Język wykładowy</w:t>
            </w:r>
            <w:r w:rsidR="00B400C0" w:rsidRPr="008722D3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8B4689" w14:textId="77777777" w:rsidR="00023A99" w:rsidRPr="008722D3" w:rsidRDefault="00875918" w:rsidP="004C0125">
            <w:r w:rsidRPr="008722D3">
              <w:t>polski</w:t>
            </w:r>
          </w:p>
        </w:tc>
      </w:tr>
      <w:tr w:rsidR="00023A99" w:rsidRPr="00A30E70" w14:paraId="1FBE486F" w14:textId="77777777" w:rsidTr="000A37AA">
        <w:tc>
          <w:tcPr>
            <w:tcW w:w="3942" w:type="dxa"/>
            <w:shd w:val="clear" w:color="auto" w:fill="auto"/>
            <w:vAlign w:val="center"/>
          </w:tcPr>
          <w:p w14:paraId="0FA1261F" w14:textId="77777777" w:rsidR="00023A99" w:rsidRPr="008722D3" w:rsidRDefault="00023A99" w:rsidP="000A37AA">
            <w:pPr>
              <w:autoSpaceDE w:val="0"/>
              <w:autoSpaceDN w:val="0"/>
              <w:adjustRightInd w:val="0"/>
            </w:pPr>
            <w:r w:rsidRPr="008722D3">
              <w:t>Rodzaj modułu</w:t>
            </w:r>
            <w:r w:rsidR="00206860" w:rsidRPr="008722D3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4403F04" w14:textId="147C2489" w:rsidR="00023A99" w:rsidRPr="008722D3" w:rsidRDefault="00947338" w:rsidP="004C0125">
            <w:r>
              <w:t>fakultatywny</w:t>
            </w:r>
          </w:p>
        </w:tc>
      </w:tr>
      <w:tr w:rsidR="00023A99" w:rsidRPr="00A30E70" w14:paraId="69FA8D8D" w14:textId="77777777" w:rsidTr="000A37AA">
        <w:tc>
          <w:tcPr>
            <w:tcW w:w="3942" w:type="dxa"/>
            <w:shd w:val="clear" w:color="auto" w:fill="auto"/>
            <w:vAlign w:val="center"/>
          </w:tcPr>
          <w:p w14:paraId="61ED84D7" w14:textId="77777777" w:rsidR="00023A99" w:rsidRPr="008722D3" w:rsidRDefault="00023A99" w:rsidP="004C0125">
            <w:r w:rsidRPr="008722D3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00E26FC" w14:textId="77777777" w:rsidR="00023A99" w:rsidRPr="008722D3" w:rsidRDefault="00875918" w:rsidP="004C0125">
            <w:r w:rsidRPr="008722D3">
              <w:t>drugiego</w:t>
            </w:r>
            <w:r w:rsidR="00023A99" w:rsidRPr="008722D3">
              <w:t xml:space="preserve"> stopnia</w:t>
            </w:r>
          </w:p>
        </w:tc>
      </w:tr>
      <w:tr w:rsidR="00023A99" w:rsidRPr="00A30E70" w14:paraId="00C4F2E4" w14:textId="77777777" w:rsidTr="000A37AA">
        <w:tc>
          <w:tcPr>
            <w:tcW w:w="3942" w:type="dxa"/>
            <w:shd w:val="clear" w:color="auto" w:fill="auto"/>
            <w:vAlign w:val="center"/>
          </w:tcPr>
          <w:p w14:paraId="4C154BBD" w14:textId="77777777" w:rsidR="00F02E5D" w:rsidRPr="008722D3" w:rsidRDefault="00023A99" w:rsidP="000A37AA">
            <w:r w:rsidRPr="008722D3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807729E" w14:textId="77777777" w:rsidR="00023A99" w:rsidRPr="008722D3" w:rsidRDefault="00023A99" w:rsidP="004C0125">
            <w:r w:rsidRPr="008722D3">
              <w:t>stacjonarne</w:t>
            </w:r>
          </w:p>
        </w:tc>
      </w:tr>
      <w:tr w:rsidR="00023A99" w:rsidRPr="00A30E70" w14:paraId="305389C1" w14:textId="77777777" w:rsidTr="000A37AA">
        <w:tc>
          <w:tcPr>
            <w:tcW w:w="3942" w:type="dxa"/>
            <w:shd w:val="clear" w:color="auto" w:fill="auto"/>
            <w:vAlign w:val="center"/>
          </w:tcPr>
          <w:p w14:paraId="1EA6BFFD" w14:textId="77777777" w:rsidR="00023A99" w:rsidRPr="008722D3" w:rsidRDefault="00023A99" w:rsidP="004C0125">
            <w:r w:rsidRPr="008722D3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E20185C" w14:textId="16CBFDDC" w:rsidR="00023A99" w:rsidRPr="008722D3" w:rsidRDefault="00023A99" w:rsidP="004C0125">
            <w:r w:rsidRPr="008722D3">
              <w:t>I</w:t>
            </w:r>
          </w:p>
        </w:tc>
      </w:tr>
      <w:tr w:rsidR="00023A99" w:rsidRPr="00A30E70" w14:paraId="38EEF6AC" w14:textId="77777777" w:rsidTr="000A37AA">
        <w:tc>
          <w:tcPr>
            <w:tcW w:w="3942" w:type="dxa"/>
            <w:shd w:val="clear" w:color="auto" w:fill="auto"/>
            <w:vAlign w:val="center"/>
          </w:tcPr>
          <w:p w14:paraId="0FD88ACE" w14:textId="77777777" w:rsidR="00023A99" w:rsidRPr="008722D3" w:rsidRDefault="00023A99" w:rsidP="004C0125">
            <w:r w:rsidRPr="008722D3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151C493" w14:textId="03B78DDD" w:rsidR="00023A99" w:rsidRPr="008722D3" w:rsidRDefault="00604A38" w:rsidP="004C0125">
            <w:r>
              <w:t>1</w:t>
            </w:r>
          </w:p>
        </w:tc>
      </w:tr>
      <w:tr w:rsidR="00023A99" w:rsidRPr="00A30E70" w14:paraId="65A30F4B" w14:textId="77777777" w:rsidTr="000A37AA">
        <w:tc>
          <w:tcPr>
            <w:tcW w:w="3942" w:type="dxa"/>
            <w:shd w:val="clear" w:color="auto" w:fill="auto"/>
            <w:vAlign w:val="center"/>
          </w:tcPr>
          <w:p w14:paraId="4279F1F6" w14:textId="77777777" w:rsidR="00023A99" w:rsidRPr="008722D3" w:rsidRDefault="00023A99" w:rsidP="004C0125">
            <w:pPr>
              <w:autoSpaceDE w:val="0"/>
              <w:autoSpaceDN w:val="0"/>
              <w:adjustRightInd w:val="0"/>
            </w:pPr>
            <w:r w:rsidRPr="008722D3">
              <w:t>Liczba punktów ECTS z podziałem na kontaktowe/</w:t>
            </w:r>
            <w:proofErr w:type="spellStart"/>
            <w:r w:rsidRPr="008722D3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5B4448A0" w14:textId="2C0995A0" w:rsidR="00023A99" w:rsidRPr="008722D3" w:rsidRDefault="00C757AF" w:rsidP="004C0125">
            <w:r>
              <w:t>3</w:t>
            </w:r>
            <w:r w:rsidRPr="008722D3">
              <w:t xml:space="preserve"> </w:t>
            </w:r>
            <w:r w:rsidR="00023A99" w:rsidRPr="008722D3">
              <w:t>(</w:t>
            </w:r>
            <w:r w:rsidR="00CF1CE1">
              <w:t>1,9</w:t>
            </w:r>
            <w:r w:rsidR="00D94666">
              <w:t>6</w:t>
            </w:r>
            <w:r w:rsidR="00EB2558" w:rsidRPr="008722D3">
              <w:t>/</w:t>
            </w:r>
            <w:r w:rsidR="00CF1CE1">
              <w:t>1</w:t>
            </w:r>
            <w:r w:rsidR="00D94666">
              <w:t>,</w:t>
            </w:r>
            <w:r w:rsidR="00CF1CE1">
              <w:t>0</w:t>
            </w:r>
            <w:r w:rsidR="00D94666">
              <w:t>4</w:t>
            </w:r>
            <w:r w:rsidR="00023A99" w:rsidRPr="008722D3">
              <w:t>)</w:t>
            </w:r>
          </w:p>
        </w:tc>
      </w:tr>
      <w:tr w:rsidR="00023A99" w:rsidRPr="00A30E70" w14:paraId="3AB2F3BD" w14:textId="77777777" w:rsidTr="000A37AA">
        <w:tc>
          <w:tcPr>
            <w:tcW w:w="3942" w:type="dxa"/>
            <w:shd w:val="clear" w:color="auto" w:fill="auto"/>
            <w:vAlign w:val="center"/>
          </w:tcPr>
          <w:p w14:paraId="3B8EA309" w14:textId="77777777" w:rsidR="00023A99" w:rsidRPr="008722D3" w:rsidRDefault="00023A99" w:rsidP="00F02E5D">
            <w:pPr>
              <w:autoSpaceDE w:val="0"/>
              <w:autoSpaceDN w:val="0"/>
              <w:adjustRightInd w:val="0"/>
            </w:pPr>
            <w:r w:rsidRPr="008722D3">
              <w:t>Tytuł</w:t>
            </w:r>
            <w:r w:rsidR="00F02E5D" w:rsidRPr="008722D3">
              <w:t xml:space="preserve"> naukowy</w:t>
            </w:r>
            <w:r w:rsidRPr="008722D3">
              <w:t>/stopień</w:t>
            </w:r>
            <w:r w:rsidR="00F02E5D" w:rsidRPr="008722D3">
              <w:t xml:space="preserve"> naukowy</w:t>
            </w:r>
            <w:r w:rsidRPr="008722D3">
              <w:t>, imię i nazwisko osoby</w:t>
            </w:r>
            <w:r w:rsidR="00F02E5D" w:rsidRPr="008722D3">
              <w:t xml:space="preserve"> </w:t>
            </w:r>
            <w:r w:rsidRPr="008722D3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A117499" w14:textId="7C45B2BB" w:rsidR="00023A99" w:rsidRPr="008722D3" w:rsidRDefault="00CF1CE1" w:rsidP="004C0125">
            <w:r>
              <w:t>dr Agnieszka Ziemiańska</w:t>
            </w:r>
            <w:r w:rsidR="00720AB0">
              <w:t>/ dr Wiktoria Janicka/ mgr inż. Kamila Janicka</w:t>
            </w:r>
          </w:p>
        </w:tc>
      </w:tr>
      <w:tr w:rsidR="00023A99" w:rsidRPr="00A30E70" w14:paraId="2C5C57D4" w14:textId="77777777" w:rsidTr="000A37AA">
        <w:tc>
          <w:tcPr>
            <w:tcW w:w="3942" w:type="dxa"/>
            <w:shd w:val="clear" w:color="auto" w:fill="auto"/>
            <w:vAlign w:val="center"/>
          </w:tcPr>
          <w:p w14:paraId="7E3D718C" w14:textId="77777777" w:rsidR="00023A99" w:rsidRPr="008722D3" w:rsidRDefault="00023A99" w:rsidP="004C0125">
            <w:r w:rsidRPr="008722D3">
              <w:t>Jednostka oferująca moduł</w:t>
            </w:r>
          </w:p>
          <w:p w14:paraId="163A0A8A" w14:textId="77777777" w:rsidR="00023A99" w:rsidRPr="008722D3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4BB2FB37" w14:textId="77777777" w:rsidR="00023A99" w:rsidRPr="008722D3" w:rsidRDefault="004A6FA9" w:rsidP="004C0125">
            <w:r w:rsidRPr="008722D3">
              <w:t>Instytut Biologicznych Podstaw Produkcji Zwierzęcej</w:t>
            </w:r>
          </w:p>
        </w:tc>
      </w:tr>
      <w:tr w:rsidR="00023A99" w:rsidRPr="00A30E70" w14:paraId="4C0796E8" w14:textId="77777777" w:rsidTr="000A37AA">
        <w:tc>
          <w:tcPr>
            <w:tcW w:w="3942" w:type="dxa"/>
            <w:shd w:val="clear" w:color="auto" w:fill="auto"/>
            <w:vAlign w:val="center"/>
          </w:tcPr>
          <w:p w14:paraId="6DA23A9A" w14:textId="77777777" w:rsidR="00023A99" w:rsidRPr="008722D3" w:rsidRDefault="00023A99" w:rsidP="004C0125">
            <w:r w:rsidRPr="008722D3">
              <w:t>Cel modułu</w:t>
            </w:r>
          </w:p>
          <w:p w14:paraId="03AF16F1" w14:textId="77777777" w:rsidR="00023A99" w:rsidRPr="008722D3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6F0FCBBA" w14:textId="5B27B2B2" w:rsidR="006D71D7" w:rsidRPr="008722D3" w:rsidRDefault="00CF1CE1" w:rsidP="004C0125">
            <w:pPr>
              <w:autoSpaceDE w:val="0"/>
              <w:autoSpaceDN w:val="0"/>
              <w:adjustRightInd w:val="0"/>
            </w:pPr>
            <w:r w:rsidRPr="00CF1CE1">
              <w:t xml:space="preserve">Zapoznanie studentów z charakterystyką pracy </w:t>
            </w:r>
            <w:proofErr w:type="spellStart"/>
            <w:r w:rsidRPr="00CF1CE1">
              <w:t>animaloterapeuty</w:t>
            </w:r>
            <w:proofErr w:type="spellEnd"/>
            <w:r>
              <w:t>.</w:t>
            </w:r>
            <w:r w:rsidRPr="00CF1CE1">
              <w:t xml:space="preserve"> Wprowadzenie w obszar pracy z osobami o różnych schorzeniach i problemach. Przygotowanie studentów do samodzielnego prowadzenia różnego rodzaju zajęć z osobami </w:t>
            </w:r>
            <w:r>
              <w:t xml:space="preserve">o specjalnych potrzebach. </w:t>
            </w:r>
            <w:r w:rsidRPr="00CF1CE1">
              <w:t>Kontakt z osobami pracującymi w ośrodkach dla osób niepełnosprawnych, o różnym stopniu upośledzenia, osób starszych.</w:t>
            </w:r>
          </w:p>
        </w:tc>
      </w:tr>
      <w:tr w:rsidR="00023A99" w:rsidRPr="00A30E70" w14:paraId="6DCFF3F5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5A351154" w14:textId="77777777" w:rsidR="00023A99" w:rsidRPr="008722D3" w:rsidRDefault="00023A99" w:rsidP="00206860">
            <w:pPr>
              <w:jc w:val="both"/>
            </w:pPr>
            <w:r w:rsidRPr="008722D3">
              <w:t xml:space="preserve">Efekty </w:t>
            </w:r>
            <w:r w:rsidR="00D2747A" w:rsidRPr="008722D3">
              <w:t>uczenia się</w:t>
            </w:r>
            <w:r w:rsidR="00206860" w:rsidRPr="008722D3">
              <w:t xml:space="preserve"> dla modułu </w:t>
            </w:r>
            <w:r w:rsidRPr="008722D3">
              <w:t>to opis zasobu wiedzy, umiejętności i kompetencji społecznych, które student osi</w:t>
            </w:r>
            <w:r w:rsidR="000F587A" w:rsidRPr="008722D3">
              <w:t>ągnie</w:t>
            </w:r>
            <w:r w:rsidR="00206860" w:rsidRPr="008722D3">
              <w:t xml:space="preserve"> po zrealizowaniu zajęć</w:t>
            </w:r>
            <w:r w:rsidR="000F587A" w:rsidRPr="008722D3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E6B58F" w14:textId="77777777" w:rsidR="00576767" w:rsidRPr="008722D3" w:rsidRDefault="00023A99" w:rsidP="004C0125">
            <w:r w:rsidRPr="008722D3">
              <w:rPr>
                <w:b/>
              </w:rPr>
              <w:t>Wiedza</w:t>
            </w:r>
            <w:r w:rsidRPr="008722D3">
              <w:t xml:space="preserve">: </w:t>
            </w:r>
          </w:p>
        </w:tc>
      </w:tr>
      <w:tr w:rsidR="00023A99" w:rsidRPr="00A30E70" w14:paraId="23BA1F2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DCEE301" w14:textId="77777777" w:rsidR="00023A99" w:rsidRPr="008722D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4E797DE" w14:textId="4B635DC4" w:rsidR="00BD4085" w:rsidRPr="008722D3" w:rsidRDefault="00720AB0" w:rsidP="004C0125">
            <w:r w:rsidRPr="00720AB0">
              <w:t>W1. Metody prowadzenia i monitorowania dokumentacji terapeutycznej oraz konsekwencje prowadzonych działań terapeutycznych</w:t>
            </w:r>
            <w:r w:rsidR="003235AB">
              <w:t>, a także potrzebę podejmowania</w:t>
            </w:r>
            <w:r w:rsidR="00C2600B">
              <w:t xml:space="preserve"> dialogu i współpracy ze specjalistami z różnych dziedzin.</w:t>
            </w:r>
          </w:p>
        </w:tc>
      </w:tr>
      <w:tr w:rsidR="00EA309C" w:rsidRPr="00A30E70" w14:paraId="6798113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1D1C6CB" w14:textId="77777777" w:rsidR="00EA309C" w:rsidRPr="008722D3" w:rsidRDefault="00EA309C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7C40F9E" w14:textId="02D31C48" w:rsidR="000375F5" w:rsidRPr="000375F5" w:rsidRDefault="00720AB0" w:rsidP="000375F5">
            <w:r w:rsidRPr="00720AB0">
              <w:t>W2. Rodzaje zaburzeń procesów poznawczych, emocjonalnych i osobowościowych</w:t>
            </w:r>
            <w:r w:rsidR="00C2600B">
              <w:t xml:space="preserve"> oraz potrzeb edukacyjnych, a także sposoby rozpoznawania możliwości podopiecznego</w:t>
            </w:r>
            <w:r w:rsidR="00BA434C">
              <w:t>.</w:t>
            </w:r>
          </w:p>
        </w:tc>
      </w:tr>
      <w:tr w:rsidR="00DC415A" w:rsidRPr="00A30E70" w14:paraId="41AEED0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AB1736E" w14:textId="77777777" w:rsidR="00DC415A" w:rsidRPr="008722D3" w:rsidRDefault="00DC415A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4A60F8A" w14:textId="0824DBF7" w:rsidR="00DC415A" w:rsidRPr="008722D3" w:rsidRDefault="00720AB0" w:rsidP="004C0125">
            <w:r w:rsidRPr="00720AB0">
              <w:t>W3. Metody i techniki pracy z podopiecznym, przeznaczenie terapeutyczne, edukacyjne i etyczne poszczególnych technik i metod pracy.</w:t>
            </w:r>
          </w:p>
        </w:tc>
      </w:tr>
      <w:tr w:rsidR="00023A99" w:rsidRPr="00A30E70" w14:paraId="747364D2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EC84C2E" w14:textId="77777777" w:rsidR="00023A99" w:rsidRPr="008722D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51F7FB8" w14:textId="77777777" w:rsidR="00576767" w:rsidRPr="00D63BAA" w:rsidRDefault="00023A99" w:rsidP="004C0125">
            <w:r w:rsidRPr="00D63BAA">
              <w:rPr>
                <w:b/>
              </w:rPr>
              <w:t>Umiejętności</w:t>
            </w:r>
            <w:r w:rsidRPr="00D63BAA">
              <w:t>:</w:t>
            </w:r>
            <w:r w:rsidR="00576767" w:rsidRPr="00D63BAA">
              <w:t xml:space="preserve"> </w:t>
            </w:r>
          </w:p>
        </w:tc>
      </w:tr>
      <w:tr w:rsidR="00023A99" w:rsidRPr="00A30E70" w14:paraId="276F4DC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9EFC839" w14:textId="77777777" w:rsidR="00023A99" w:rsidRPr="008722D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EE0F6F7" w14:textId="0809B517" w:rsidR="00857ED2" w:rsidRPr="00D63BAA" w:rsidRDefault="00C2600B" w:rsidP="004C0125">
            <w:r w:rsidRPr="00D63BAA">
              <w:t>U1</w:t>
            </w:r>
            <w:r w:rsidR="00720AB0" w:rsidRPr="00D63BAA">
              <w:t>.</w:t>
            </w:r>
            <w:r w:rsidR="00D502E6" w:rsidRPr="00D63BAA">
              <w:t>Umię odczytywać i interpretować zachowanie zwierząt w kontekście  bezpieczeństwa pacjenta.</w:t>
            </w:r>
          </w:p>
        </w:tc>
      </w:tr>
      <w:tr w:rsidR="00720AB0" w:rsidRPr="00A30E70" w14:paraId="01AC0A21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1094B07" w14:textId="77777777" w:rsidR="00720AB0" w:rsidRPr="008722D3" w:rsidRDefault="00720AB0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C902A1A" w14:textId="74713784" w:rsidR="00720AB0" w:rsidRPr="00720AB0" w:rsidRDefault="00C2600B" w:rsidP="004C0125">
            <w:r w:rsidRPr="00720AB0">
              <w:t>U</w:t>
            </w:r>
            <w:r>
              <w:t>2</w:t>
            </w:r>
            <w:r w:rsidR="00720AB0" w:rsidRPr="00720AB0">
              <w:t xml:space="preserve">. Podejmować współpracę z zespołem terapeutycznym przy opracowywaniu planu </w:t>
            </w:r>
            <w:proofErr w:type="spellStart"/>
            <w:r w:rsidR="00720AB0" w:rsidRPr="00720AB0">
              <w:t>animaloterapii</w:t>
            </w:r>
            <w:proofErr w:type="spellEnd"/>
            <w:r w:rsidR="00720AB0" w:rsidRPr="00720AB0">
              <w:t xml:space="preserve"> dla podopiecznego</w:t>
            </w:r>
            <w:r w:rsidR="00D502E6">
              <w:t>, uwzględniając cele i metody pracy.</w:t>
            </w:r>
          </w:p>
        </w:tc>
      </w:tr>
      <w:tr w:rsidR="00720AB0" w:rsidRPr="00A30E70" w14:paraId="70A4513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93782F8" w14:textId="77777777" w:rsidR="00720AB0" w:rsidRPr="008722D3" w:rsidRDefault="00720AB0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1A84D25" w14:textId="6424B908" w:rsidR="00720AB0" w:rsidRPr="00720AB0" w:rsidRDefault="00C2600B" w:rsidP="004C0125">
            <w:r w:rsidRPr="00720AB0">
              <w:t>U</w:t>
            </w:r>
            <w:r>
              <w:t>3</w:t>
            </w:r>
            <w:r w:rsidR="00720AB0" w:rsidRPr="00720AB0">
              <w:t>. Odpowiednio motywować podopiecznego do aktywności podczas zaj</w:t>
            </w:r>
            <w:r>
              <w:t>ęć.</w:t>
            </w:r>
          </w:p>
        </w:tc>
      </w:tr>
      <w:tr w:rsidR="00023A99" w:rsidRPr="00A30E70" w14:paraId="5CBD19F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6142AEE" w14:textId="77777777" w:rsidR="00023A99" w:rsidRPr="008722D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EBFBCDC" w14:textId="77777777" w:rsidR="00023A99" w:rsidRPr="008722D3" w:rsidRDefault="00023A99" w:rsidP="004C0125">
            <w:pPr>
              <w:rPr>
                <w:b/>
              </w:rPr>
            </w:pPr>
            <w:r w:rsidRPr="008722D3">
              <w:rPr>
                <w:b/>
              </w:rPr>
              <w:t>Kompetencje społeczne:</w:t>
            </w:r>
            <w:r w:rsidR="002206ED" w:rsidRPr="008722D3">
              <w:rPr>
                <w:b/>
              </w:rPr>
              <w:t xml:space="preserve"> </w:t>
            </w:r>
          </w:p>
        </w:tc>
      </w:tr>
      <w:tr w:rsidR="00023A99" w:rsidRPr="00A30E70" w14:paraId="68A42E11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D98FA1B" w14:textId="77777777" w:rsidR="00023A99" w:rsidRPr="008722D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0BFC98E" w14:textId="0EA2BB6B" w:rsidR="004D1D25" w:rsidRPr="00EA309C" w:rsidRDefault="00720AB0" w:rsidP="004C0125">
            <w:r w:rsidRPr="00720AB0">
              <w:t>K1. Przyjmować odpowiedzialność i być świadomym skutków swojej działalności</w:t>
            </w:r>
            <w:r w:rsidR="00C2600B">
              <w:t>.</w:t>
            </w:r>
          </w:p>
        </w:tc>
      </w:tr>
      <w:tr w:rsidR="00404568" w:rsidRPr="00A30E70" w14:paraId="118BA2E4" w14:textId="77777777" w:rsidTr="000A37AA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7A063844" w14:textId="77777777" w:rsidR="00404568" w:rsidRPr="008722D3" w:rsidRDefault="00404568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BA98622" w14:textId="2DB76C67" w:rsidR="004D1D25" w:rsidRPr="00EA309C" w:rsidRDefault="00720AB0" w:rsidP="004C0125">
            <w:r w:rsidRPr="00720AB0">
              <w:t>K2. Podejmować współpracę z przełożonymi, podopiecznymi i ich otoczeniem w realizacji terapii, pracować w zespole i komunikowania się z podopiecznym w sposób otwarty</w:t>
            </w:r>
            <w:r w:rsidR="00BA434C">
              <w:t>.</w:t>
            </w:r>
          </w:p>
        </w:tc>
      </w:tr>
      <w:tr w:rsidR="00720AB0" w:rsidRPr="00A30E70" w14:paraId="70823C70" w14:textId="77777777" w:rsidTr="000A37AA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43D701D8" w14:textId="77777777" w:rsidR="00720AB0" w:rsidRPr="008722D3" w:rsidRDefault="00720AB0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A6E9CCD" w14:textId="019C38F7" w:rsidR="00720AB0" w:rsidRPr="00720AB0" w:rsidRDefault="00720AB0" w:rsidP="004C0125">
            <w:r w:rsidRPr="00720AB0">
              <w:t>K3. Komunikować się z podopiecznym we właściwy sposób</w:t>
            </w:r>
            <w:r w:rsidR="00BA434C">
              <w:t>.</w:t>
            </w:r>
          </w:p>
        </w:tc>
      </w:tr>
      <w:tr w:rsidR="00840739" w:rsidRPr="00A30E70" w14:paraId="2F3A909C" w14:textId="77777777" w:rsidTr="000A37AA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4BDD71DE" w14:textId="00370815" w:rsidR="00840739" w:rsidRPr="008722D3" w:rsidRDefault="00840739" w:rsidP="00840739">
            <w:pPr>
              <w:rPr>
                <w:highlight w:val="yellow"/>
              </w:rPr>
            </w:pPr>
            <w:r w:rsidRPr="008722D3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EF08B92" w14:textId="77777777" w:rsidR="00720AB0" w:rsidRPr="00720AB0" w:rsidRDefault="00720AB0" w:rsidP="00720AB0">
            <w:pPr>
              <w:jc w:val="both"/>
            </w:pPr>
            <w:r w:rsidRPr="00720AB0">
              <w:t>W1 – A_W03</w:t>
            </w:r>
          </w:p>
          <w:p w14:paraId="2D27372F" w14:textId="77777777" w:rsidR="00720AB0" w:rsidRPr="00720AB0" w:rsidRDefault="00720AB0" w:rsidP="00720AB0">
            <w:pPr>
              <w:jc w:val="both"/>
            </w:pPr>
            <w:r w:rsidRPr="00720AB0">
              <w:t>W2 – A_W05</w:t>
            </w:r>
          </w:p>
          <w:p w14:paraId="547CC311" w14:textId="77777777" w:rsidR="00720AB0" w:rsidRPr="00720AB0" w:rsidRDefault="00720AB0" w:rsidP="00720AB0">
            <w:pPr>
              <w:jc w:val="both"/>
            </w:pPr>
            <w:r w:rsidRPr="00720AB0">
              <w:t>W3 – A_W06</w:t>
            </w:r>
          </w:p>
          <w:p w14:paraId="26E0DDB2" w14:textId="3AD4E33C" w:rsidR="00720AB0" w:rsidRPr="00720AB0" w:rsidRDefault="00720AB0" w:rsidP="00720AB0">
            <w:pPr>
              <w:jc w:val="both"/>
            </w:pPr>
            <w:r w:rsidRPr="00720AB0">
              <w:t>U</w:t>
            </w:r>
            <w:r w:rsidR="00C2600B">
              <w:t>1</w:t>
            </w:r>
            <w:r w:rsidRPr="00720AB0">
              <w:t xml:space="preserve"> – A_U04</w:t>
            </w:r>
          </w:p>
          <w:p w14:paraId="1BA5CD1C" w14:textId="785DB357" w:rsidR="00720AB0" w:rsidRPr="00720AB0" w:rsidRDefault="00720AB0" w:rsidP="00720AB0">
            <w:pPr>
              <w:jc w:val="both"/>
            </w:pPr>
            <w:r w:rsidRPr="00720AB0">
              <w:lastRenderedPageBreak/>
              <w:t>U</w:t>
            </w:r>
            <w:r w:rsidR="00C2600B">
              <w:t>2</w:t>
            </w:r>
            <w:r w:rsidRPr="00720AB0">
              <w:t xml:space="preserve"> – A_U04, A_U05</w:t>
            </w:r>
          </w:p>
          <w:p w14:paraId="42BA5DAC" w14:textId="7F2E8BEB" w:rsidR="00720AB0" w:rsidRPr="00720AB0" w:rsidRDefault="00C2600B" w:rsidP="00720AB0">
            <w:pPr>
              <w:jc w:val="both"/>
            </w:pPr>
            <w:r w:rsidRPr="00720AB0">
              <w:t>U</w:t>
            </w:r>
            <w:r>
              <w:t>3</w:t>
            </w:r>
            <w:r w:rsidRPr="00720AB0">
              <w:t xml:space="preserve"> </w:t>
            </w:r>
            <w:r w:rsidR="00720AB0" w:rsidRPr="00720AB0">
              <w:t>– A_U06</w:t>
            </w:r>
          </w:p>
          <w:p w14:paraId="02A879A9" w14:textId="77777777" w:rsidR="00720AB0" w:rsidRPr="00720AB0" w:rsidRDefault="00720AB0" w:rsidP="00720AB0">
            <w:pPr>
              <w:jc w:val="both"/>
            </w:pPr>
            <w:r w:rsidRPr="00720AB0">
              <w:t>K1 – A_K01</w:t>
            </w:r>
          </w:p>
          <w:p w14:paraId="096628DE" w14:textId="40A1D86C" w:rsidR="00840739" w:rsidRPr="008722D3" w:rsidRDefault="00720AB0" w:rsidP="00840739">
            <w:r w:rsidRPr="00720AB0">
              <w:t>K2; K3 – A_K02</w:t>
            </w:r>
          </w:p>
        </w:tc>
      </w:tr>
      <w:tr w:rsidR="00840739" w:rsidRPr="00A30E70" w14:paraId="4915C54E" w14:textId="77777777" w:rsidTr="000A37AA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35AE886E" w14:textId="49B94DDF" w:rsidR="00840739" w:rsidRPr="008722D3" w:rsidRDefault="00840739" w:rsidP="00840739">
            <w:pPr>
              <w:rPr>
                <w:highlight w:val="yellow"/>
              </w:rPr>
            </w:pPr>
            <w:r w:rsidRPr="006D43D5">
              <w:lastRenderedPageBreak/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DA42DDC" w14:textId="77777777" w:rsidR="008C4E92" w:rsidRDefault="008C4E92" w:rsidP="008C4E92">
            <w:pPr>
              <w:rPr>
                <w:spacing w:val="-4"/>
              </w:rPr>
            </w:pPr>
            <w:r w:rsidRPr="008A4E1D">
              <w:rPr>
                <w:spacing w:val="-4"/>
              </w:rPr>
              <w:t>InzA_W03</w:t>
            </w:r>
          </w:p>
          <w:p w14:paraId="5E8025D0" w14:textId="77777777" w:rsidR="008C4E92" w:rsidRDefault="008C4E92" w:rsidP="008C4E92">
            <w:pPr>
              <w:rPr>
                <w:spacing w:val="-4"/>
              </w:rPr>
            </w:pPr>
            <w:r>
              <w:rPr>
                <w:spacing w:val="-4"/>
              </w:rPr>
              <w:t>InzA_</w:t>
            </w:r>
            <w:r w:rsidRPr="00CC617B">
              <w:rPr>
                <w:spacing w:val="-4"/>
              </w:rPr>
              <w:t>U02</w:t>
            </w:r>
          </w:p>
          <w:p w14:paraId="03B4C5D2" w14:textId="7537950B" w:rsidR="00840739" w:rsidRPr="008722D3" w:rsidRDefault="008C4E92" w:rsidP="008C4E92">
            <w:r>
              <w:rPr>
                <w:spacing w:val="-4"/>
              </w:rPr>
              <w:t>InzA_</w:t>
            </w:r>
            <w:r w:rsidRPr="00CC617B">
              <w:rPr>
                <w:spacing w:val="-4"/>
              </w:rPr>
              <w:t>U03</w:t>
            </w:r>
          </w:p>
        </w:tc>
      </w:tr>
      <w:tr w:rsidR="00840739" w:rsidRPr="00A30E70" w14:paraId="0E2BEBDC" w14:textId="77777777" w:rsidTr="000A37AA">
        <w:tc>
          <w:tcPr>
            <w:tcW w:w="3942" w:type="dxa"/>
            <w:shd w:val="clear" w:color="auto" w:fill="auto"/>
            <w:vAlign w:val="center"/>
          </w:tcPr>
          <w:p w14:paraId="34F4C4D1" w14:textId="77777777" w:rsidR="00840739" w:rsidRPr="008722D3" w:rsidRDefault="00840739" w:rsidP="00840739">
            <w:r w:rsidRPr="008722D3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D2F6469" w14:textId="77777777" w:rsidR="00840739" w:rsidRPr="008722D3" w:rsidRDefault="00840739" w:rsidP="00840739">
            <w:pPr>
              <w:jc w:val="both"/>
            </w:pPr>
            <w:r w:rsidRPr="008722D3">
              <w:t xml:space="preserve">- </w:t>
            </w:r>
          </w:p>
        </w:tc>
      </w:tr>
      <w:tr w:rsidR="00840739" w:rsidRPr="00A30E70" w14:paraId="6087C1A8" w14:textId="77777777" w:rsidTr="000A37AA">
        <w:tc>
          <w:tcPr>
            <w:tcW w:w="3942" w:type="dxa"/>
            <w:shd w:val="clear" w:color="auto" w:fill="auto"/>
            <w:vAlign w:val="center"/>
          </w:tcPr>
          <w:p w14:paraId="460416FC" w14:textId="77777777" w:rsidR="00840739" w:rsidRPr="008722D3" w:rsidRDefault="00840739" w:rsidP="00840739">
            <w:r w:rsidRPr="008722D3">
              <w:t xml:space="preserve">Treści programowe modułu </w:t>
            </w:r>
          </w:p>
          <w:p w14:paraId="25F2A700" w14:textId="77777777" w:rsidR="00840739" w:rsidRPr="008722D3" w:rsidRDefault="00840739" w:rsidP="00840739"/>
        </w:tc>
        <w:tc>
          <w:tcPr>
            <w:tcW w:w="6543" w:type="dxa"/>
            <w:shd w:val="clear" w:color="auto" w:fill="auto"/>
            <w:vAlign w:val="center"/>
          </w:tcPr>
          <w:p w14:paraId="68FD8297" w14:textId="377F3652" w:rsidR="00BD4085" w:rsidRPr="008722D3" w:rsidRDefault="0024640B" w:rsidP="00840739">
            <w:r>
              <w:t xml:space="preserve">Interdyscyplinarny charakter pracy jako </w:t>
            </w:r>
            <w:proofErr w:type="spellStart"/>
            <w:r>
              <w:t>animaloterapeuta</w:t>
            </w:r>
            <w:proofErr w:type="spellEnd"/>
            <w:r>
              <w:t xml:space="preserve">. </w:t>
            </w:r>
            <w:r w:rsidR="005B2141" w:rsidRPr="006E0AEA">
              <w:t xml:space="preserve">Znaczenie edukacji </w:t>
            </w:r>
            <w:proofErr w:type="spellStart"/>
            <w:r w:rsidR="00020206">
              <w:t>animaloterapeutów</w:t>
            </w:r>
            <w:proofErr w:type="spellEnd"/>
            <w:r w:rsidR="005B2141" w:rsidRPr="006E0AEA">
              <w:t xml:space="preserve"> z zakresu</w:t>
            </w:r>
            <w:r w:rsidR="00A76F9D" w:rsidRPr="006E0AEA">
              <w:t xml:space="preserve"> komunikacji interpersonalnej</w:t>
            </w:r>
            <w:r w:rsidR="005B2141" w:rsidRPr="006E0AEA">
              <w:t xml:space="preserve">. </w:t>
            </w:r>
            <w:r w:rsidR="00A76F9D" w:rsidRPr="006E0AEA">
              <w:t>Podstawowe umiejętności prospołeczne</w:t>
            </w:r>
            <w:r w:rsidR="005B2141" w:rsidRPr="006E0AEA">
              <w:t xml:space="preserve">. </w:t>
            </w:r>
            <w:r w:rsidR="0028799F">
              <w:t xml:space="preserve">Rola empatii. </w:t>
            </w:r>
            <w:r>
              <w:t xml:space="preserve">Specyfika pracy w zespole terapeutycznym. </w:t>
            </w:r>
            <w:r w:rsidR="005B2141" w:rsidRPr="006E0AEA">
              <w:t xml:space="preserve">Zrozumienie różnic pomiędzy problemami osób z różnych grup wiekowych. Umiejętność pracy w grupie. </w:t>
            </w:r>
            <w:r w:rsidR="0028799F">
              <w:t xml:space="preserve">Zasady skutecznego porozumiewania się z pacjentem. Nawiązywanie i podtrzymywanie interakcji i relacji. </w:t>
            </w:r>
            <w:r w:rsidR="00A76F9D" w:rsidRPr="006E0AEA">
              <w:rPr>
                <w:iCs/>
              </w:rPr>
              <w:t>Komunikacja w grupie: rozwiązywanie konfliktów. Komunikacja werbalna i niewerbalna. Zaburzenia komunikacji</w:t>
            </w:r>
            <w:r w:rsidR="00A76F9D">
              <w:rPr>
                <w:iCs/>
              </w:rPr>
              <w:t>.</w:t>
            </w:r>
            <w:r w:rsidR="006E0AEA">
              <w:rPr>
                <w:iCs/>
              </w:rPr>
              <w:t xml:space="preserve"> </w:t>
            </w:r>
            <w:r w:rsidR="00A76F9D">
              <w:rPr>
                <w:iCs/>
              </w:rPr>
              <w:t xml:space="preserve">Emocje i strategie radzenia sobie z emocjami. </w:t>
            </w:r>
            <w:r w:rsidRPr="0024640B">
              <w:rPr>
                <w:iCs/>
              </w:rPr>
              <w:t>Odpowiedzialność i świadomość konsekwencji swojego postępowania.</w:t>
            </w:r>
            <w:r>
              <w:rPr>
                <w:iCs/>
              </w:rPr>
              <w:t xml:space="preserve"> </w:t>
            </w:r>
            <w:r w:rsidR="00C05FAE">
              <w:rPr>
                <w:iCs/>
              </w:rPr>
              <w:t>Budowanie zaufania i poczucia bezpieczeństwa w pracy z pacjentem.</w:t>
            </w:r>
            <w:r w:rsidR="004F7518">
              <w:rPr>
                <w:iCs/>
              </w:rPr>
              <w:t xml:space="preserve"> Angażowanie pacjenta w aktywny udział w zajęciach.</w:t>
            </w:r>
          </w:p>
        </w:tc>
      </w:tr>
      <w:tr w:rsidR="00840739" w:rsidRPr="00105F2A" w14:paraId="712B9428" w14:textId="77777777" w:rsidTr="000A37AA">
        <w:tc>
          <w:tcPr>
            <w:tcW w:w="3942" w:type="dxa"/>
            <w:shd w:val="clear" w:color="auto" w:fill="auto"/>
            <w:vAlign w:val="center"/>
          </w:tcPr>
          <w:p w14:paraId="531D2BF6" w14:textId="77777777" w:rsidR="00840739" w:rsidRPr="008722D3" w:rsidRDefault="00840739" w:rsidP="00840739">
            <w:r w:rsidRPr="008722D3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C37A5B6" w14:textId="6DBF11AC" w:rsidR="00840739" w:rsidRDefault="00840739" w:rsidP="00BD4085">
            <w:pPr>
              <w:rPr>
                <w:iCs/>
              </w:rPr>
            </w:pPr>
          </w:p>
          <w:p w14:paraId="3A174B01" w14:textId="77777777" w:rsidR="00101426" w:rsidRDefault="00101426" w:rsidP="00101426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Literatura obowiązkowa:</w:t>
            </w:r>
          </w:p>
          <w:p w14:paraId="2AA53490" w14:textId="48176A78" w:rsidR="00101426" w:rsidRDefault="00101426" w:rsidP="00D216BC">
            <w:pPr>
              <w:pStyle w:val="Akapitzlist"/>
              <w:numPr>
                <w:ilvl w:val="0"/>
                <w:numId w:val="6"/>
              </w:numPr>
            </w:pPr>
            <w:r>
              <w:t>Sadowski B. (2007): Biologiczne mechanizmy zachowania się ludzi i zwierząt. PWN, Warszawa.</w:t>
            </w:r>
          </w:p>
          <w:p w14:paraId="0D9405C5" w14:textId="1AC7F438" w:rsidR="001F2FC1" w:rsidRDefault="00101426" w:rsidP="00D216BC">
            <w:pPr>
              <w:pStyle w:val="Akapitzlist"/>
              <w:numPr>
                <w:ilvl w:val="0"/>
                <w:numId w:val="6"/>
              </w:numPr>
            </w:pPr>
            <w:proofErr w:type="spellStart"/>
            <w:r>
              <w:t>Kalat</w:t>
            </w:r>
            <w:proofErr w:type="spellEnd"/>
            <w:r>
              <w:t xml:space="preserve"> J. (2021): Biologiczne podstawy psychologii. Wydawnictwo Naukowe PWN, </w:t>
            </w:r>
            <w:proofErr w:type="spellStart"/>
            <w:r>
              <w:t>Warszawa.</w:t>
            </w:r>
            <w:r w:rsidR="001F2FC1">
              <w:t>Żółkowska</w:t>
            </w:r>
            <w:proofErr w:type="spellEnd"/>
            <w:r w:rsidR="001F2FC1">
              <w:t xml:space="preserve"> T. (2023): Niepełnosprawność: po/nowoczesne rozważania. Wydawnictwo Naukowe Uniwersytetu Szczecińskiego</w:t>
            </w:r>
          </w:p>
          <w:p w14:paraId="19D4BE44" w14:textId="77777777" w:rsidR="00101426" w:rsidRDefault="00101426" w:rsidP="00DE3F31">
            <w:pPr>
              <w:pStyle w:val="Akapitzlist"/>
              <w:ind w:left="360"/>
            </w:pPr>
          </w:p>
          <w:p w14:paraId="1193E77C" w14:textId="77777777" w:rsidR="00101426" w:rsidRDefault="00101426" w:rsidP="00101426">
            <w:pPr>
              <w:rPr>
                <w:b/>
                <w:i/>
                <w:iCs/>
                <w:lang w:val="en-GB"/>
              </w:rPr>
            </w:pPr>
            <w:proofErr w:type="spellStart"/>
            <w:r>
              <w:rPr>
                <w:b/>
                <w:i/>
                <w:iCs/>
                <w:lang w:val="en-GB"/>
              </w:rPr>
              <w:t>Literatura</w:t>
            </w:r>
            <w:proofErr w:type="spellEnd"/>
            <w:r>
              <w:rPr>
                <w:b/>
                <w:i/>
                <w:iCs/>
                <w:lang w:val="en-GB"/>
              </w:rPr>
              <w:t xml:space="preserve"> </w:t>
            </w:r>
            <w:proofErr w:type="spellStart"/>
            <w:r>
              <w:rPr>
                <w:b/>
                <w:i/>
                <w:iCs/>
                <w:lang w:val="en-GB"/>
              </w:rPr>
              <w:t>uzupełniająca</w:t>
            </w:r>
            <w:proofErr w:type="spellEnd"/>
            <w:r>
              <w:rPr>
                <w:b/>
                <w:i/>
                <w:iCs/>
                <w:lang w:val="en-GB"/>
              </w:rPr>
              <w:t>:</w:t>
            </w:r>
          </w:p>
          <w:p w14:paraId="57A8B651" w14:textId="77777777" w:rsidR="00101426" w:rsidRDefault="001F2FC1" w:rsidP="00D216BC">
            <w:pPr>
              <w:pStyle w:val="Akapitzlist"/>
              <w:numPr>
                <w:ilvl w:val="0"/>
                <w:numId w:val="6"/>
              </w:numPr>
              <w:rPr>
                <w:iCs/>
              </w:rPr>
            </w:pPr>
            <w:proofErr w:type="spellStart"/>
            <w:r>
              <w:rPr>
                <w:iCs/>
              </w:rPr>
              <w:t>Parchomiuk</w:t>
            </w:r>
            <w:proofErr w:type="spellEnd"/>
            <w:r>
              <w:rPr>
                <w:iCs/>
              </w:rPr>
              <w:t xml:space="preserve"> M. (2019): Starzenie się, starość i umieranie </w:t>
            </w:r>
            <w:proofErr w:type="spellStart"/>
            <w:r>
              <w:rPr>
                <w:iCs/>
              </w:rPr>
              <w:t>osoób</w:t>
            </w:r>
            <w:proofErr w:type="spellEnd"/>
            <w:r>
              <w:rPr>
                <w:iCs/>
              </w:rPr>
              <w:t xml:space="preserve"> z niepełnosprawnością intelektualną. Impuls.</w:t>
            </w:r>
          </w:p>
          <w:p w14:paraId="3C3A5F5D" w14:textId="77777777" w:rsidR="001F2FC1" w:rsidRDefault="001F2FC1" w:rsidP="001F2FC1">
            <w:pPr>
              <w:pStyle w:val="Akapitzlist"/>
              <w:numPr>
                <w:ilvl w:val="0"/>
                <w:numId w:val="6"/>
              </w:numPr>
              <w:rPr>
                <w:iCs/>
              </w:rPr>
            </w:pPr>
            <w:r>
              <w:rPr>
                <w:iCs/>
              </w:rPr>
              <w:t>Godawa J. (2017): Osoba z niepełnosprawnością na ścieżkach życia: kultura, społeczeństwo, terapia. Impuls.</w:t>
            </w:r>
          </w:p>
          <w:p w14:paraId="3571FE0A" w14:textId="1872F2E7" w:rsidR="00DE3F31" w:rsidRPr="007147FF" w:rsidRDefault="00DE3F31" w:rsidP="001F2FC1">
            <w:pPr>
              <w:pStyle w:val="Akapitzlist"/>
              <w:numPr>
                <w:ilvl w:val="0"/>
                <w:numId w:val="6"/>
              </w:numPr>
              <w:rPr>
                <w:iCs/>
              </w:rPr>
            </w:pPr>
            <w:r>
              <w:rPr>
                <w:iCs/>
              </w:rPr>
              <w:t xml:space="preserve">Kulisiewicz B. (2014): </w:t>
            </w:r>
            <w:proofErr w:type="spellStart"/>
            <w:r>
              <w:rPr>
                <w:iCs/>
              </w:rPr>
              <w:t>Dogoterapia</w:t>
            </w:r>
            <w:proofErr w:type="spellEnd"/>
            <w:r>
              <w:rPr>
                <w:iCs/>
              </w:rPr>
              <w:t xml:space="preserve"> we wspomaganiu nauki i usprawnianiu techniki czytania. Impuls.</w:t>
            </w:r>
          </w:p>
        </w:tc>
      </w:tr>
      <w:tr w:rsidR="00840739" w:rsidRPr="00A30E70" w14:paraId="4B587237" w14:textId="77777777" w:rsidTr="000A37AA">
        <w:tc>
          <w:tcPr>
            <w:tcW w:w="3942" w:type="dxa"/>
            <w:shd w:val="clear" w:color="auto" w:fill="auto"/>
            <w:vAlign w:val="center"/>
          </w:tcPr>
          <w:p w14:paraId="2FDFAA29" w14:textId="77777777" w:rsidR="00840739" w:rsidRPr="008722D3" w:rsidRDefault="00840739" w:rsidP="00840739">
            <w:r w:rsidRPr="008722D3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28FA277" w14:textId="2AB912FB" w:rsidR="00840739" w:rsidRPr="008722D3" w:rsidRDefault="00A62A3C" w:rsidP="00840739">
            <w:r>
              <w:t>W</w:t>
            </w:r>
            <w:r w:rsidR="00840739" w:rsidRPr="008722D3">
              <w:t>ykład, ćwiczenia</w:t>
            </w:r>
            <w:r>
              <w:t>, zajęcia</w:t>
            </w:r>
            <w:r w:rsidR="00840739" w:rsidRPr="008722D3">
              <w:t xml:space="preserve"> </w:t>
            </w:r>
            <w:r w:rsidR="00BC46ED">
              <w:t>warsztatowe</w:t>
            </w:r>
          </w:p>
        </w:tc>
      </w:tr>
      <w:tr w:rsidR="00840739" w:rsidRPr="00A30E70" w14:paraId="3BAE7674" w14:textId="77777777" w:rsidTr="000A37AA">
        <w:tc>
          <w:tcPr>
            <w:tcW w:w="3942" w:type="dxa"/>
            <w:shd w:val="clear" w:color="auto" w:fill="auto"/>
            <w:vAlign w:val="center"/>
          </w:tcPr>
          <w:p w14:paraId="1B2290A8" w14:textId="77777777" w:rsidR="00840739" w:rsidRPr="008722D3" w:rsidRDefault="00840739" w:rsidP="00840739">
            <w:r w:rsidRPr="008722D3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DE86B1B" w14:textId="08C54FE5" w:rsidR="00840739" w:rsidRPr="008722D3" w:rsidRDefault="00840739" w:rsidP="00840739">
            <w:r w:rsidRPr="008722D3">
              <w:t xml:space="preserve">W1, W2, W3 – </w:t>
            </w:r>
            <w:r w:rsidR="003235AB">
              <w:t>zaliczenie pisemne</w:t>
            </w:r>
          </w:p>
          <w:p w14:paraId="3861DCDA" w14:textId="014BF49F" w:rsidR="00840739" w:rsidRPr="008722D3" w:rsidRDefault="00840739" w:rsidP="00840739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2D3">
              <w:rPr>
                <w:rFonts w:ascii="Times New Roman" w:hAnsi="Times New Roman" w:cs="Times New Roman"/>
                <w:sz w:val="24"/>
                <w:szCs w:val="24"/>
              </w:rPr>
              <w:t xml:space="preserve">U1, U2, U3, U4, U5 </w:t>
            </w:r>
            <w:r w:rsidR="00B22A7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05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5AB">
              <w:rPr>
                <w:rFonts w:ascii="Times New Roman" w:hAnsi="Times New Roman" w:cs="Times New Roman"/>
                <w:sz w:val="24"/>
                <w:szCs w:val="24"/>
              </w:rPr>
              <w:t>zajęcia warsztatowe</w:t>
            </w:r>
            <w:r w:rsidR="00EA4F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A7A" w:rsidRPr="00B22A7A">
              <w:rPr>
                <w:rFonts w:ascii="Times New Roman" w:hAnsi="Times New Roman" w:cs="Times New Roman"/>
                <w:sz w:val="24"/>
                <w:szCs w:val="24"/>
              </w:rPr>
              <w:t>przygotowanie prac</w:t>
            </w:r>
            <w:r w:rsidR="003235A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B22A7A" w:rsidRPr="00B22A7A">
              <w:rPr>
                <w:rFonts w:ascii="Times New Roman" w:hAnsi="Times New Roman" w:cs="Times New Roman"/>
                <w:sz w:val="24"/>
                <w:szCs w:val="24"/>
              </w:rPr>
              <w:t xml:space="preserve"> projektow</w:t>
            </w:r>
            <w:r w:rsidR="003235AB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</w:p>
          <w:p w14:paraId="1D625C35" w14:textId="54323840" w:rsidR="00840739" w:rsidRPr="008722D3" w:rsidRDefault="00840739" w:rsidP="00840739">
            <w:r w:rsidRPr="008722D3">
              <w:t>K1, K2, K3 –</w:t>
            </w:r>
            <w:r w:rsidR="00B22A7A">
              <w:t xml:space="preserve"> </w:t>
            </w:r>
            <w:r w:rsidR="003235AB">
              <w:t>zaliczenie pisemne</w:t>
            </w:r>
            <w:r w:rsidR="00B22A7A">
              <w:t>,</w:t>
            </w:r>
            <w:r w:rsidRPr="008722D3">
              <w:t xml:space="preserve"> </w:t>
            </w:r>
            <w:r w:rsidR="003235AB">
              <w:t>zajęcia warsztatowe</w:t>
            </w:r>
            <w:r w:rsidR="00B22A7A" w:rsidRPr="00B22A7A">
              <w:t>, przygotowanie prac</w:t>
            </w:r>
            <w:r w:rsidR="00F218F1">
              <w:t>y</w:t>
            </w:r>
            <w:r w:rsidR="00B22A7A" w:rsidRPr="00B22A7A">
              <w:t xml:space="preserve"> projektow</w:t>
            </w:r>
            <w:r w:rsidR="00F218F1">
              <w:t>ej</w:t>
            </w:r>
          </w:p>
          <w:p w14:paraId="61781BE4" w14:textId="60947696" w:rsidR="00840739" w:rsidRPr="008722D3" w:rsidRDefault="00840739" w:rsidP="00840739">
            <w:pPr>
              <w:rPr>
                <w:i/>
              </w:rPr>
            </w:pPr>
          </w:p>
          <w:p w14:paraId="52F46068" w14:textId="7EBC3171" w:rsidR="00840739" w:rsidRPr="00FE09BB" w:rsidRDefault="00840739" w:rsidP="00840739">
            <w:pPr>
              <w:rPr>
                <w:i/>
              </w:rPr>
            </w:pPr>
            <w:r w:rsidRPr="008722D3">
              <w:rPr>
                <w:i/>
                <w:u w:val="single"/>
              </w:rPr>
              <w:t>DOKUMENTOWANIE OSIĄGNIĘTYCH EFEKTÓW UCZENIA SIĘ</w:t>
            </w:r>
            <w:r w:rsidRPr="008722D3">
              <w:rPr>
                <w:i/>
              </w:rPr>
              <w:t xml:space="preserve"> w formie</w:t>
            </w:r>
            <w:r w:rsidRPr="00FE09BB">
              <w:rPr>
                <w:i/>
              </w:rPr>
              <w:t xml:space="preserve">: </w:t>
            </w:r>
            <w:r w:rsidR="00720AB0" w:rsidRPr="00720AB0">
              <w:rPr>
                <w:i/>
              </w:rPr>
              <w:t>zaliczenie pisemne, praca projektowa</w:t>
            </w:r>
          </w:p>
          <w:p w14:paraId="04235578" w14:textId="77777777" w:rsidR="00840739" w:rsidRPr="008722D3" w:rsidRDefault="00840739" w:rsidP="00840739">
            <w:pPr>
              <w:rPr>
                <w:i/>
              </w:rPr>
            </w:pPr>
          </w:p>
          <w:p w14:paraId="5A928E58" w14:textId="77777777" w:rsidR="00840739" w:rsidRPr="008722D3" w:rsidRDefault="00840739" w:rsidP="00840739">
            <w:pPr>
              <w:rPr>
                <w:i/>
              </w:rPr>
            </w:pPr>
            <w:r w:rsidRPr="008722D3">
              <w:rPr>
                <w:i/>
              </w:rPr>
              <w:t>Szczegółowe kryteria przy ocenie zaliczenia i prac kontrolnych</w:t>
            </w:r>
          </w:p>
          <w:p w14:paraId="436BB72F" w14:textId="77777777" w:rsidR="00840739" w:rsidRPr="00FE09BB" w:rsidRDefault="00840739" w:rsidP="00840739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FE09BB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</w:t>
            </w:r>
            <w:r w:rsidRPr="00FE09BB">
              <w:rPr>
                <w:iCs/>
              </w:rPr>
              <w:lastRenderedPageBreak/>
              <w:t xml:space="preserve">umiejętności z danego przedmiotu (odpowiednio, przy zaliczeniu cząstkowym – jego części), </w:t>
            </w:r>
          </w:p>
          <w:p w14:paraId="165F7186" w14:textId="77777777" w:rsidR="00840739" w:rsidRPr="00FE09BB" w:rsidRDefault="00840739" w:rsidP="00840739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FE09BB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6692E749" w14:textId="77777777" w:rsidR="00840739" w:rsidRPr="00FE09BB" w:rsidRDefault="00840739" w:rsidP="00840739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FE09BB">
              <w:rPr>
                <w:iCs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CBFD1E8" w14:textId="77777777" w:rsidR="00840739" w:rsidRPr="00FE09BB" w:rsidRDefault="00840739" w:rsidP="00840739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FE09BB">
              <w:rPr>
                <w:iCs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55E48AD2" w14:textId="77777777" w:rsidR="00840739" w:rsidRPr="008722D3" w:rsidRDefault="00840739" w:rsidP="00840739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FE09BB">
              <w:rPr>
                <w:iCs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840739" w:rsidRPr="00A30E70" w14:paraId="4EF5CDCE" w14:textId="77777777" w:rsidTr="000A37AA">
        <w:tc>
          <w:tcPr>
            <w:tcW w:w="3942" w:type="dxa"/>
            <w:shd w:val="clear" w:color="auto" w:fill="auto"/>
            <w:vAlign w:val="center"/>
          </w:tcPr>
          <w:p w14:paraId="2F0303A7" w14:textId="77777777" w:rsidR="00840739" w:rsidRPr="008722D3" w:rsidRDefault="00840739" w:rsidP="00840739">
            <w:r w:rsidRPr="008722D3">
              <w:lastRenderedPageBreak/>
              <w:t>Elementy i wagi mające wpływ na ocenę końcową</w:t>
            </w:r>
          </w:p>
          <w:p w14:paraId="21AFEA66" w14:textId="77777777" w:rsidR="00840739" w:rsidRPr="008722D3" w:rsidRDefault="00840739" w:rsidP="00840739"/>
          <w:p w14:paraId="74BFFE87" w14:textId="77777777" w:rsidR="00840739" w:rsidRPr="008722D3" w:rsidRDefault="00840739" w:rsidP="00840739"/>
        </w:tc>
        <w:tc>
          <w:tcPr>
            <w:tcW w:w="6543" w:type="dxa"/>
            <w:shd w:val="clear" w:color="auto" w:fill="auto"/>
            <w:vAlign w:val="center"/>
          </w:tcPr>
          <w:p w14:paraId="04947915" w14:textId="3EAC9503" w:rsidR="00840739" w:rsidRPr="008722D3" w:rsidRDefault="005A0C6E" w:rsidP="00840739">
            <w:pPr>
              <w:jc w:val="both"/>
              <w:rPr>
                <w:i/>
              </w:rPr>
            </w:pPr>
            <w:r w:rsidRPr="005A0C6E">
              <w:rPr>
                <w:i/>
              </w:rPr>
              <w:t xml:space="preserve">Ocenę końcową stanowi ocena uzyskana z </w:t>
            </w:r>
            <w:r w:rsidR="00D2184B">
              <w:rPr>
                <w:i/>
              </w:rPr>
              <w:t>zaliczenia</w:t>
            </w:r>
            <w:r w:rsidR="00D2184B" w:rsidRPr="005A0C6E">
              <w:rPr>
                <w:i/>
              </w:rPr>
              <w:t xml:space="preserve"> </w:t>
            </w:r>
            <w:r w:rsidRPr="005A0C6E">
              <w:rPr>
                <w:i/>
              </w:rPr>
              <w:t xml:space="preserve">pisemnego (100%). Warunkiem dopuszczenia do </w:t>
            </w:r>
            <w:r w:rsidR="00D2184B">
              <w:rPr>
                <w:i/>
              </w:rPr>
              <w:t>zaliczenia</w:t>
            </w:r>
            <w:r w:rsidR="00D2184B" w:rsidRPr="005A0C6E">
              <w:rPr>
                <w:i/>
              </w:rPr>
              <w:t xml:space="preserve"> </w:t>
            </w:r>
            <w:r w:rsidRPr="005A0C6E">
              <w:rPr>
                <w:i/>
              </w:rPr>
              <w:t>jest przygotowanie pracy projektowej</w:t>
            </w:r>
            <w:r w:rsidR="0058261A">
              <w:rPr>
                <w:i/>
              </w:rPr>
              <w:t xml:space="preserve">, </w:t>
            </w:r>
            <w:r w:rsidRPr="005A0C6E">
              <w:rPr>
                <w:i/>
              </w:rPr>
              <w:t>zgodnie z wytycznymi otrzymanymi od Prowadzącego. Warunki te są przedstawiane studentom i konsultowane z nimi na pierwszym wykładzie.</w:t>
            </w:r>
          </w:p>
        </w:tc>
      </w:tr>
      <w:tr w:rsidR="00840739" w:rsidRPr="00A30E70" w14:paraId="22FBE2B7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46E533FF" w14:textId="77777777" w:rsidR="00840739" w:rsidRPr="008722D3" w:rsidRDefault="00840739" w:rsidP="00840739">
            <w:pPr>
              <w:jc w:val="both"/>
            </w:pPr>
            <w:r w:rsidRPr="008722D3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DC0A230" w14:textId="77777777" w:rsidR="00D2184B" w:rsidRPr="009B2708" w:rsidRDefault="00D2184B" w:rsidP="00D2184B">
            <w:pPr>
              <w:rPr>
                <w:i/>
              </w:rPr>
            </w:pPr>
            <w:r w:rsidRPr="009B2708">
              <w:rPr>
                <w:b/>
                <w:i/>
              </w:rPr>
              <w:t>Kontaktowe</w:t>
            </w:r>
          </w:p>
          <w:p w14:paraId="521ADA1D" w14:textId="77777777" w:rsidR="00D2184B" w:rsidRPr="009B2708" w:rsidRDefault="00D2184B" w:rsidP="00D2184B">
            <w:pPr>
              <w:numPr>
                <w:ilvl w:val="0"/>
                <w:numId w:val="1"/>
              </w:numPr>
              <w:rPr>
                <w:i/>
              </w:rPr>
            </w:pPr>
            <w:r w:rsidRPr="009B2708">
              <w:rPr>
                <w:i/>
              </w:rPr>
              <w:t xml:space="preserve">wykład </w:t>
            </w:r>
            <w:r>
              <w:rPr>
                <w:i/>
              </w:rPr>
              <w:t>(15</w:t>
            </w:r>
            <w:r w:rsidRPr="009B2708">
              <w:rPr>
                <w:i/>
              </w:rPr>
              <w:t xml:space="preserve"> godz./</w:t>
            </w:r>
            <w:r>
              <w:rPr>
                <w:i/>
              </w:rPr>
              <w:t>1</w:t>
            </w:r>
            <w:r w:rsidRPr="009B2708">
              <w:rPr>
                <w:i/>
              </w:rPr>
              <w:t>,</w:t>
            </w:r>
            <w:r>
              <w:rPr>
                <w:i/>
              </w:rPr>
              <w:t>2</w:t>
            </w:r>
            <w:r w:rsidRPr="009B2708">
              <w:rPr>
                <w:i/>
              </w:rPr>
              <w:t xml:space="preserve"> ECTS), </w:t>
            </w:r>
          </w:p>
          <w:p w14:paraId="6B2E59BB" w14:textId="77777777" w:rsidR="00D2184B" w:rsidRPr="009B2708" w:rsidRDefault="00D2184B" w:rsidP="00D2184B">
            <w:pPr>
              <w:numPr>
                <w:ilvl w:val="0"/>
                <w:numId w:val="1"/>
              </w:numPr>
              <w:rPr>
                <w:i/>
              </w:rPr>
            </w:pPr>
            <w:r w:rsidRPr="009B2708">
              <w:rPr>
                <w:i/>
              </w:rPr>
              <w:t>ćwiczenia (</w:t>
            </w:r>
            <w:r>
              <w:rPr>
                <w:i/>
              </w:rPr>
              <w:t>30</w:t>
            </w:r>
            <w:r w:rsidRPr="009B2708">
              <w:rPr>
                <w:i/>
              </w:rPr>
              <w:t xml:space="preserve"> godz./1,</w:t>
            </w:r>
            <w:r>
              <w:rPr>
                <w:i/>
              </w:rPr>
              <w:t>8</w:t>
            </w:r>
            <w:r w:rsidRPr="009B2708">
              <w:rPr>
                <w:i/>
              </w:rPr>
              <w:t xml:space="preserve"> ECTS), </w:t>
            </w:r>
          </w:p>
          <w:p w14:paraId="6C355AE9" w14:textId="77777777" w:rsidR="00D2184B" w:rsidRPr="009B2708" w:rsidRDefault="00D2184B" w:rsidP="00D2184B">
            <w:pPr>
              <w:numPr>
                <w:ilvl w:val="0"/>
                <w:numId w:val="1"/>
              </w:numPr>
              <w:rPr>
                <w:i/>
              </w:rPr>
            </w:pPr>
            <w:r w:rsidRPr="009B2708">
              <w:rPr>
                <w:i/>
              </w:rPr>
              <w:t>konsultacje (</w:t>
            </w:r>
            <w:r>
              <w:rPr>
                <w:i/>
              </w:rPr>
              <w:t>4</w:t>
            </w:r>
            <w:r w:rsidRPr="009B2708">
              <w:rPr>
                <w:i/>
              </w:rPr>
              <w:t xml:space="preserve"> godz./0,</w:t>
            </w:r>
            <w:r>
              <w:rPr>
                <w:i/>
              </w:rPr>
              <w:t>4</w:t>
            </w:r>
            <w:r w:rsidRPr="009B2708">
              <w:rPr>
                <w:i/>
              </w:rPr>
              <w:t xml:space="preserve"> ECTS),</w:t>
            </w:r>
          </w:p>
          <w:p w14:paraId="55ED7FC6" w14:textId="77777777" w:rsidR="00D2184B" w:rsidRPr="009B2708" w:rsidRDefault="00D2184B" w:rsidP="00D2184B">
            <w:pPr>
              <w:rPr>
                <w:i/>
              </w:rPr>
            </w:pPr>
            <w:r w:rsidRPr="009B2708">
              <w:rPr>
                <w:i/>
              </w:rPr>
              <w:t xml:space="preserve">Łącznie – </w:t>
            </w:r>
            <w:r>
              <w:rPr>
                <w:i/>
              </w:rPr>
              <w:t xml:space="preserve">49 </w:t>
            </w:r>
            <w:r w:rsidRPr="009B2708">
              <w:rPr>
                <w:i/>
              </w:rPr>
              <w:t>godz./</w:t>
            </w:r>
            <w:r>
              <w:rPr>
                <w:i/>
              </w:rPr>
              <w:t>1</w:t>
            </w:r>
            <w:r w:rsidRPr="009B2708">
              <w:rPr>
                <w:i/>
              </w:rPr>
              <w:t>,</w:t>
            </w:r>
            <w:r>
              <w:rPr>
                <w:i/>
              </w:rPr>
              <w:t>96</w:t>
            </w:r>
            <w:r w:rsidRPr="009B2708">
              <w:rPr>
                <w:i/>
              </w:rPr>
              <w:t xml:space="preserve"> ECTS</w:t>
            </w:r>
          </w:p>
          <w:p w14:paraId="134BB4C3" w14:textId="77777777" w:rsidR="00D2184B" w:rsidRPr="009B2708" w:rsidRDefault="00D2184B" w:rsidP="00D2184B">
            <w:pPr>
              <w:rPr>
                <w:b/>
                <w:i/>
              </w:rPr>
            </w:pPr>
          </w:p>
          <w:p w14:paraId="5A624A8B" w14:textId="77777777" w:rsidR="00D2184B" w:rsidRPr="009B2708" w:rsidRDefault="00D2184B" w:rsidP="00D2184B">
            <w:pPr>
              <w:rPr>
                <w:b/>
                <w:i/>
              </w:rPr>
            </w:pPr>
            <w:proofErr w:type="spellStart"/>
            <w:r w:rsidRPr="009B2708">
              <w:rPr>
                <w:b/>
                <w:i/>
              </w:rPr>
              <w:t>Niekontaktowe</w:t>
            </w:r>
            <w:proofErr w:type="spellEnd"/>
          </w:p>
          <w:p w14:paraId="07D2AF0F" w14:textId="77777777" w:rsidR="00D2184B" w:rsidRPr="009B2708" w:rsidRDefault="00D2184B" w:rsidP="00D2184B">
            <w:pPr>
              <w:numPr>
                <w:ilvl w:val="0"/>
                <w:numId w:val="2"/>
              </w:numPr>
              <w:rPr>
                <w:i/>
              </w:rPr>
            </w:pPr>
            <w:r w:rsidRPr="009B2708">
              <w:rPr>
                <w:i/>
              </w:rPr>
              <w:t>przygotowanie do zajęć i egzaminu (</w:t>
            </w:r>
            <w:r>
              <w:rPr>
                <w:i/>
              </w:rPr>
              <w:t>10</w:t>
            </w:r>
            <w:r w:rsidRPr="009B2708">
              <w:rPr>
                <w:i/>
              </w:rPr>
              <w:t xml:space="preserve"> godz./</w:t>
            </w:r>
            <w:r>
              <w:rPr>
                <w:i/>
              </w:rPr>
              <w:t>0,4</w:t>
            </w:r>
            <w:r w:rsidRPr="009B2708">
              <w:rPr>
                <w:i/>
              </w:rPr>
              <w:t xml:space="preserve"> ECTS),</w:t>
            </w:r>
          </w:p>
          <w:p w14:paraId="38928FE4" w14:textId="77777777" w:rsidR="00D2184B" w:rsidRPr="009B2708" w:rsidRDefault="00D2184B" w:rsidP="00D2184B">
            <w:pPr>
              <w:numPr>
                <w:ilvl w:val="0"/>
                <w:numId w:val="2"/>
              </w:numPr>
              <w:rPr>
                <w:i/>
              </w:rPr>
            </w:pPr>
            <w:r w:rsidRPr="009B2708">
              <w:rPr>
                <w:i/>
              </w:rPr>
              <w:t>przygotowanie projektów (</w:t>
            </w:r>
            <w:r>
              <w:rPr>
                <w:i/>
              </w:rPr>
              <w:t>10</w:t>
            </w:r>
            <w:r w:rsidRPr="009B2708">
              <w:rPr>
                <w:i/>
              </w:rPr>
              <w:t xml:space="preserve"> godz./</w:t>
            </w:r>
            <w:r>
              <w:rPr>
                <w:i/>
              </w:rPr>
              <w:t>0,4</w:t>
            </w:r>
            <w:r w:rsidRPr="009B2708">
              <w:rPr>
                <w:i/>
              </w:rPr>
              <w:t xml:space="preserve"> ECTS)</w:t>
            </w:r>
          </w:p>
          <w:p w14:paraId="69A6F591" w14:textId="77777777" w:rsidR="00D2184B" w:rsidRPr="009B2708" w:rsidRDefault="00D2184B" w:rsidP="00D2184B">
            <w:pPr>
              <w:numPr>
                <w:ilvl w:val="0"/>
                <w:numId w:val="2"/>
              </w:numPr>
              <w:rPr>
                <w:i/>
              </w:rPr>
            </w:pPr>
            <w:r w:rsidRPr="009B2708">
              <w:rPr>
                <w:i/>
              </w:rPr>
              <w:t>studiowanie literatury (</w:t>
            </w:r>
            <w:r>
              <w:rPr>
                <w:i/>
              </w:rPr>
              <w:t>6</w:t>
            </w:r>
            <w:r w:rsidRPr="009B2708">
              <w:rPr>
                <w:i/>
              </w:rPr>
              <w:t xml:space="preserve"> godz./0,</w:t>
            </w:r>
            <w:r>
              <w:rPr>
                <w:i/>
              </w:rPr>
              <w:t>2</w:t>
            </w:r>
            <w:r w:rsidRPr="009B2708">
              <w:rPr>
                <w:i/>
              </w:rPr>
              <w:t>4 ECTS),</w:t>
            </w:r>
          </w:p>
          <w:p w14:paraId="2CDC858B" w14:textId="02C099FD" w:rsidR="009B2708" w:rsidRPr="009B2708" w:rsidRDefault="00D2184B" w:rsidP="009B2708">
            <w:pPr>
              <w:rPr>
                <w:i/>
              </w:rPr>
            </w:pPr>
            <w:r w:rsidRPr="009B2708">
              <w:rPr>
                <w:i/>
              </w:rPr>
              <w:t xml:space="preserve">Łącznie </w:t>
            </w:r>
            <w:r>
              <w:rPr>
                <w:i/>
              </w:rPr>
              <w:t>26</w:t>
            </w:r>
            <w:r w:rsidRPr="009B2708">
              <w:rPr>
                <w:i/>
              </w:rPr>
              <w:t xml:space="preserve"> godz./</w:t>
            </w:r>
            <w:r>
              <w:rPr>
                <w:i/>
              </w:rPr>
              <w:t>1,04</w:t>
            </w:r>
            <w:r w:rsidRPr="009B2708">
              <w:rPr>
                <w:i/>
              </w:rPr>
              <w:t xml:space="preserve"> ECTS</w:t>
            </w:r>
          </w:p>
        </w:tc>
      </w:tr>
      <w:tr w:rsidR="00840739" w:rsidRPr="00A30E70" w14:paraId="5589FF1A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0A5C4BA5" w14:textId="77777777" w:rsidR="00840739" w:rsidRDefault="00840739" w:rsidP="00840739">
            <w:r w:rsidRPr="008722D3">
              <w:t>Nakład pracy związany z zajęciami wymagającymi bezpośredniego udziału nauczyciela akademickiego</w:t>
            </w:r>
          </w:p>
          <w:p w14:paraId="34354951" w14:textId="6F6D066D" w:rsidR="00283F42" w:rsidRPr="00283F42" w:rsidRDefault="00283F42" w:rsidP="00840739">
            <w:pPr>
              <w:rPr>
                <w:i/>
                <w:iCs/>
              </w:rPr>
            </w:pPr>
            <w:r w:rsidRPr="00283F42">
              <w:rPr>
                <w:i/>
                <w:iCs/>
              </w:rPr>
              <w:t>(wyłącznie wymienione formy)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B4A8329" w14:textId="3E04244A" w:rsidR="00840739" w:rsidRPr="008722D3" w:rsidRDefault="00840739" w:rsidP="00840739">
            <w:pPr>
              <w:jc w:val="both"/>
              <w:rPr>
                <w:i/>
              </w:rPr>
            </w:pPr>
            <w:r w:rsidRPr="008722D3">
              <w:rPr>
                <w:i/>
              </w:rPr>
              <w:t xml:space="preserve">udział w wykładach – </w:t>
            </w:r>
            <w:r w:rsidR="00E06BCF">
              <w:rPr>
                <w:i/>
              </w:rPr>
              <w:t>30</w:t>
            </w:r>
            <w:r w:rsidR="004F6D31">
              <w:rPr>
                <w:i/>
              </w:rPr>
              <w:t xml:space="preserve"> </w:t>
            </w:r>
            <w:r w:rsidR="00283F42">
              <w:rPr>
                <w:i/>
              </w:rPr>
              <w:t>godz.;</w:t>
            </w:r>
            <w:r w:rsidRPr="008722D3">
              <w:rPr>
                <w:i/>
              </w:rPr>
              <w:t xml:space="preserve"> w ćwiczeniach – </w:t>
            </w:r>
            <w:r w:rsidR="002528FA">
              <w:rPr>
                <w:i/>
              </w:rPr>
              <w:t>4</w:t>
            </w:r>
            <w:r w:rsidR="004F6D31">
              <w:rPr>
                <w:i/>
              </w:rPr>
              <w:t>5</w:t>
            </w:r>
            <w:r w:rsidRPr="008722D3">
              <w:rPr>
                <w:i/>
              </w:rPr>
              <w:t xml:space="preserve"> </w:t>
            </w:r>
            <w:r w:rsidR="00283F42">
              <w:rPr>
                <w:i/>
              </w:rPr>
              <w:t>godz.;</w:t>
            </w:r>
            <w:r w:rsidR="004F6D31">
              <w:rPr>
                <w:i/>
              </w:rPr>
              <w:t xml:space="preserve"> </w:t>
            </w:r>
            <w:r w:rsidRPr="008722D3">
              <w:rPr>
                <w:i/>
              </w:rPr>
              <w:t xml:space="preserve">konsultacjach – </w:t>
            </w:r>
            <w:r w:rsidR="00D2184B">
              <w:rPr>
                <w:i/>
              </w:rPr>
              <w:t xml:space="preserve">4 </w:t>
            </w:r>
            <w:r w:rsidR="00283F42">
              <w:rPr>
                <w:i/>
              </w:rPr>
              <w:t>godz.</w:t>
            </w:r>
          </w:p>
          <w:p w14:paraId="7496BAD2" w14:textId="677CB256" w:rsidR="009B2708" w:rsidRPr="008722D3" w:rsidRDefault="00283F42" w:rsidP="009B2708">
            <w:pPr>
              <w:jc w:val="both"/>
              <w:rPr>
                <w:i/>
              </w:rPr>
            </w:pPr>
            <w:r w:rsidRPr="00283F42">
              <w:rPr>
                <w:i/>
              </w:rPr>
              <w:t xml:space="preserve">Łącznie – </w:t>
            </w:r>
            <w:r w:rsidR="00D2184B">
              <w:rPr>
                <w:i/>
              </w:rPr>
              <w:t>49</w:t>
            </w:r>
            <w:r w:rsidR="00D2184B" w:rsidRPr="00283F42">
              <w:rPr>
                <w:i/>
              </w:rPr>
              <w:t xml:space="preserve"> </w:t>
            </w:r>
            <w:r w:rsidRPr="00283F42">
              <w:rPr>
                <w:i/>
              </w:rPr>
              <w:t>godz./</w:t>
            </w:r>
            <w:r w:rsidR="00D2184B">
              <w:rPr>
                <w:i/>
              </w:rPr>
              <w:t>1,96</w:t>
            </w:r>
            <w:r w:rsidRPr="00283F42">
              <w:rPr>
                <w:i/>
              </w:rPr>
              <w:t xml:space="preserve"> ECTS</w:t>
            </w:r>
            <w:r w:rsidR="00EF55E5">
              <w:rPr>
                <w:i/>
              </w:rPr>
              <w:t xml:space="preserve"> </w:t>
            </w:r>
          </w:p>
        </w:tc>
      </w:tr>
    </w:tbl>
    <w:p w14:paraId="7FE2DC3E" w14:textId="77777777" w:rsidR="00023A99" w:rsidRDefault="00023A99" w:rsidP="005967D6">
      <w:pPr>
        <w:rPr>
          <w:sz w:val="20"/>
          <w:szCs w:val="20"/>
        </w:rPr>
      </w:pPr>
    </w:p>
    <w:sectPr w:rsidR="00023A99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3FA60" w14:textId="77777777" w:rsidR="00A96B24" w:rsidRDefault="00A96B24" w:rsidP="008D17BD">
      <w:r>
        <w:separator/>
      </w:r>
    </w:p>
  </w:endnote>
  <w:endnote w:type="continuationSeparator" w:id="0">
    <w:p w14:paraId="2B2EE95D" w14:textId="77777777" w:rsidR="00A96B24" w:rsidRDefault="00A96B24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D330325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090C9B14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33BF2" w14:textId="77777777" w:rsidR="00A96B24" w:rsidRDefault="00A96B24" w:rsidP="008D17BD">
      <w:r>
        <w:separator/>
      </w:r>
    </w:p>
  </w:footnote>
  <w:footnote w:type="continuationSeparator" w:id="0">
    <w:p w14:paraId="043CC859" w14:textId="77777777" w:rsidR="00A96B24" w:rsidRDefault="00A96B24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146CA"/>
    <w:multiLevelType w:val="hybridMultilevel"/>
    <w:tmpl w:val="1BE8FAC0"/>
    <w:lvl w:ilvl="0" w:tplc="BF8AAB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48F1"/>
    <w:rsid w:val="000077C6"/>
    <w:rsid w:val="00012977"/>
    <w:rsid w:val="000174AD"/>
    <w:rsid w:val="00020206"/>
    <w:rsid w:val="00022537"/>
    <w:rsid w:val="00023A99"/>
    <w:rsid w:val="000375F5"/>
    <w:rsid w:val="0005376E"/>
    <w:rsid w:val="000676A9"/>
    <w:rsid w:val="00083E0A"/>
    <w:rsid w:val="0009480E"/>
    <w:rsid w:val="000A37AA"/>
    <w:rsid w:val="000A7758"/>
    <w:rsid w:val="000D45C2"/>
    <w:rsid w:val="000D7701"/>
    <w:rsid w:val="000F587A"/>
    <w:rsid w:val="00101426"/>
    <w:rsid w:val="00101F00"/>
    <w:rsid w:val="00105F2A"/>
    <w:rsid w:val="00120398"/>
    <w:rsid w:val="001242B3"/>
    <w:rsid w:val="00183182"/>
    <w:rsid w:val="001B1FE8"/>
    <w:rsid w:val="001B6737"/>
    <w:rsid w:val="001E1385"/>
    <w:rsid w:val="001F2FC1"/>
    <w:rsid w:val="00206860"/>
    <w:rsid w:val="00207270"/>
    <w:rsid w:val="002202ED"/>
    <w:rsid w:val="002206ED"/>
    <w:rsid w:val="0022410B"/>
    <w:rsid w:val="0024640B"/>
    <w:rsid w:val="002528FA"/>
    <w:rsid w:val="002835BD"/>
    <w:rsid w:val="00283678"/>
    <w:rsid w:val="00283F42"/>
    <w:rsid w:val="0028623D"/>
    <w:rsid w:val="0028799F"/>
    <w:rsid w:val="002A73E1"/>
    <w:rsid w:val="002B08C1"/>
    <w:rsid w:val="002D2EFA"/>
    <w:rsid w:val="002E373F"/>
    <w:rsid w:val="002E4043"/>
    <w:rsid w:val="002F001F"/>
    <w:rsid w:val="003235AB"/>
    <w:rsid w:val="0032569E"/>
    <w:rsid w:val="0032739E"/>
    <w:rsid w:val="003305C4"/>
    <w:rsid w:val="00333B7D"/>
    <w:rsid w:val="003530E8"/>
    <w:rsid w:val="003673B0"/>
    <w:rsid w:val="00372A9D"/>
    <w:rsid w:val="003853C3"/>
    <w:rsid w:val="0039281E"/>
    <w:rsid w:val="00394530"/>
    <w:rsid w:val="003B32BF"/>
    <w:rsid w:val="003C0105"/>
    <w:rsid w:val="003D36E1"/>
    <w:rsid w:val="003F3307"/>
    <w:rsid w:val="00404568"/>
    <w:rsid w:val="00406732"/>
    <w:rsid w:val="004231A0"/>
    <w:rsid w:val="00457679"/>
    <w:rsid w:val="004A0314"/>
    <w:rsid w:val="004A6FA9"/>
    <w:rsid w:val="004B189D"/>
    <w:rsid w:val="004C0A29"/>
    <w:rsid w:val="004C47E3"/>
    <w:rsid w:val="004D1D25"/>
    <w:rsid w:val="004E014A"/>
    <w:rsid w:val="004F13E8"/>
    <w:rsid w:val="004F6573"/>
    <w:rsid w:val="004F6D31"/>
    <w:rsid w:val="004F7518"/>
    <w:rsid w:val="00500899"/>
    <w:rsid w:val="00521176"/>
    <w:rsid w:val="00521C0B"/>
    <w:rsid w:val="00537790"/>
    <w:rsid w:val="00554CCB"/>
    <w:rsid w:val="00556D20"/>
    <w:rsid w:val="00562C5D"/>
    <w:rsid w:val="0057184E"/>
    <w:rsid w:val="0057332A"/>
    <w:rsid w:val="00576767"/>
    <w:rsid w:val="00582211"/>
    <w:rsid w:val="0058261A"/>
    <w:rsid w:val="005869D2"/>
    <w:rsid w:val="00592A99"/>
    <w:rsid w:val="005967D6"/>
    <w:rsid w:val="005A0C6E"/>
    <w:rsid w:val="005B110E"/>
    <w:rsid w:val="005B2141"/>
    <w:rsid w:val="005C7D11"/>
    <w:rsid w:val="005D06E4"/>
    <w:rsid w:val="005F0E77"/>
    <w:rsid w:val="00602C22"/>
    <w:rsid w:val="00604A38"/>
    <w:rsid w:val="0063487A"/>
    <w:rsid w:val="00645D80"/>
    <w:rsid w:val="00646DC3"/>
    <w:rsid w:val="006604BF"/>
    <w:rsid w:val="006742BC"/>
    <w:rsid w:val="006953BE"/>
    <w:rsid w:val="006A338D"/>
    <w:rsid w:val="006A495E"/>
    <w:rsid w:val="006A6A25"/>
    <w:rsid w:val="006D61B4"/>
    <w:rsid w:val="006D71D7"/>
    <w:rsid w:val="006E0AEA"/>
    <w:rsid w:val="006F010F"/>
    <w:rsid w:val="006F3573"/>
    <w:rsid w:val="007032E7"/>
    <w:rsid w:val="0070657C"/>
    <w:rsid w:val="007147FF"/>
    <w:rsid w:val="00720AB0"/>
    <w:rsid w:val="00735D3A"/>
    <w:rsid w:val="00741764"/>
    <w:rsid w:val="00764466"/>
    <w:rsid w:val="0077249B"/>
    <w:rsid w:val="00775B96"/>
    <w:rsid w:val="007B768F"/>
    <w:rsid w:val="007E7B2E"/>
    <w:rsid w:val="007F13BA"/>
    <w:rsid w:val="0080669F"/>
    <w:rsid w:val="0080745D"/>
    <w:rsid w:val="00824C7A"/>
    <w:rsid w:val="00833E45"/>
    <w:rsid w:val="0083437D"/>
    <w:rsid w:val="00840739"/>
    <w:rsid w:val="00841D3B"/>
    <w:rsid w:val="00850B52"/>
    <w:rsid w:val="00857ED2"/>
    <w:rsid w:val="00871DA5"/>
    <w:rsid w:val="008722D3"/>
    <w:rsid w:val="00875918"/>
    <w:rsid w:val="00891DB4"/>
    <w:rsid w:val="0089357C"/>
    <w:rsid w:val="00893CD3"/>
    <w:rsid w:val="00896BC2"/>
    <w:rsid w:val="008C4E92"/>
    <w:rsid w:val="008D0B7E"/>
    <w:rsid w:val="008D13BA"/>
    <w:rsid w:val="008D17BD"/>
    <w:rsid w:val="008E0A10"/>
    <w:rsid w:val="008F16EA"/>
    <w:rsid w:val="009201B5"/>
    <w:rsid w:val="0092197E"/>
    <w:rsid w:val="00927CC5"/>
    <w:rsid w:val="0093679C"/>
    <w:rsid w:val="00947338"/>
    <w:rsid w:val="009724BE"/>
    <w:rsid w:val="0097495C"/>
    <w:rsid w:val="00980EBB"/>
    <w:rsid w:val="0098654A"/>
    <w:rsid w:val="00990A3B"/>
    <w:rsid w:val="00991350"/>
    <w:rsid w:val="00991C97"/>
    <w:rsid w:val="00992D17"/>
    <w:rsid w:val="00994487"/>
    <w:rsid w:val="009B0049"/>
    <w:rsid w:val="009B2708"/>
    <w:rsid w:val="009B3729"/>
    <w:rsid w:val="009C2572"/>
    <w:rsid w:val="009E49CA"/>
    <w:rsid w:val="009F56A4"/>
    <w:rsid w:val="009F5A89"/>
    <w:rsid w:val="009F63AF"/>
    <w:rsid w:val="009F757E"/>
    <w:rsid w:val="00A10C6E"/>
    <w:rsid w:val="00A15D7B"/>
    <w:rsid w:val="00A25D78"/>
    <w:rsid w:val="00A27747"/>
    <w:rsid w:val="00A30E70"/>
    <w:rsid w:val="00A42B90"/>
    <w:rsid w:val="00A62A3C"/>
    <w:rsid w:val="00A6673A"/>
    <w:rsid w:val="00A672F2"/>
    <w:rsid w:val="00A76F9D"/>
    <w:rsid w:val="00A771C9"/>
    <w:rsid w:val="00A82B11"/>
    <w:rsid w:val="00A95DFF"/>
    <w:rsid w:val="00A96B24"/>
    <w:rsid w:val="00AA02DB"/>
    <w:rsid w:val="00AB6085"/>
    <w:rsid w:val="00AC6F7E"/>
    <w:rsid w:val="00AD6F61"/>
    <w:rsid w:val="00AE5AAD"/>
    <w:rsid w:val="00B22A7A"/>
    <w:rsid w:val="00B23E2A"/>
    <w:rsid w:val="00B32323"/>
    <w:rsid w:val="00B400C0"/>
    <w:rsid w:val="00B47A20"/>
    <w:rsid w:val="00B512A8"/>
    <w:rsid w:val="00B53993"/>
    <w:rsid w:val="00B71AE7"/>
    <w:rsid w:val="00B742CE"/>
    <w:rsid w:val="00B90F3B"/>
    <w:rsid w:val="00B93DB3"/>
    <w:rsid w:val="00BA2E91"/>
    <w:rsid w:val="00BA434C"/>
    <w:rsid w:val="00BC46ED"/>
    <w:rsid w:val="00BC638D"/>
    <w:rsid w:val="00BD085C"/>
    <w:rsid w:val="00BD4085"/>
    <w:rsid w:val="00BD6F7D"/>
    <w:rsid w:val="00BE2AF8"/>
    <w:rsid w:val="00BF20FE"/>
    <w:rsid w:val="00BF5620"/>
    <w:rsid w:val="00C05FAE"/>
    <w:rsid w:val="00C15140"/>
    <w:rsid w:val="00C21AE4"/>
    <w:rsid w:val="00C23B1E"/>
    <w:rsid w:val="00C2600B"/>
    <w:rsid w:val="00C757AF"/>
    <w:rsid w:val="00C84B58"/>
    <w:rsid w:val="00CA2D8B"/>
    <w:rsid w:val="00CB5E52"/>
    <w:rsid w:val="00CD3047"/>
    <w:rsid w:val="00CD423D"/>
    <w:rsid w:val="00CF1CE1"/>
    <w:rsid w:val="00CF3A8F"/>
    <w:rsid w:val="00CF41E9"/>
    <w:rsid w:val="00CF7232"/>
    <w:rsid w:val="00D05A1C"/>
    <w:rsid w:val="00D216BC"/>
    <w:rsid w:val="00D2184B"/>
    <w:rsid w:val="00D2747A"/>
    <w:rsid w:val="00D330FC"/>
    <w:rsid w:val="00D35D85"/>
    <w:rsid w:val="00D37F85"/>
    <w:rsid w:val="00D4364C"/>
    <w:rsid w:val="00D502E6"/>
    <w:rsid w:val="00D552F8"/>
    <w:rsid w:val="00D63BAA"/>
    <w:rsid w:val="00D80AC1"/>
    <w:rsid w:val="00D8301C"/>
    <w:rsid w:val="00D91457"/>
    <w:rsid w:val="00D94666"/>
    <w:rsid w:val="00DC2364"/>
    <w:rsid w:val="00DC415A"/>
    <w:rsid w:val="00DE1C47"/>
    <w:rsid w:val="00DE3F31"/>
    <w:rsid w:val="00E010F7"/>
    <w:rsid w:val="00E06BCF"/>
    <w:rsid w:val="00E06D05"/>
    <w:rsid w:val="00E2151A"/>
    <w:rsid w:val="00E25527"/>
    <w:rsid w:val="00E54369"/>
    <w:rsid w:val="00E61AA6"/>
    <w:rsid w:val="00E832C8"/>
    <w:rsid w:val="00E84533"/>
    <w:rsid w:val="00E87297"/>
    <w:rsid w:val="00E93CA9"/>
    <w:rsid w:val="00EA068F"/>
    <w:rsid w:val="00EA309C"/>
    <w:rsid w:val="00EA4FEC"/>
    <w:rsid w:val="00EB2558"/>
    <w:rsid w:val="00EC3848"/>
    <w:rsid w:val="00EC7AA9"/>
    <w:rsid w:val="00ED1639"/>
    <w:rsid w:val="00EE1FFC"/>
    <w:rsid w:val="00EE7227"/>
    <w:rsid w:val="00EF5218"/>
    <w:rsid w:val="00EF55E5"/>
    <w:rsid w:val="00F02DA4"/>
    <w:rsid w:val="00F02E5D"/>
    <w:rsid w:val="00F11A6C"/>
    <w:rsid w:val="00F218F1"/>
    <w:rsid w:val="00F2295C"/>
    <w:rsid w:val="00F235E5"/>
    <w:rsid w:val="00F46BE5"/>
    <w:rsid w:val="00F5033F"/>
    <w:rsid w:val="00F56D32"/>
    <w:rsid w:val="00F635B1"/>
    <w:rsid w:val="00F64FFB"/>
    <w:rsid w:val="00F82B32"/>
    <w:rsid w:val="00FB0556"/>
    <w:rsid w:val="00FC0F80"/>
    <w:rsid w:val="00FE09BB"/>
    <w:rsid w:val="00FE6CCC"/>
    <w:rsid w:val="00FE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8224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paragraph" w:styleId="Poprawka">
    <w:name w:val="Revision"/>
    <w:hidden/>
    <w:uiPriority w:val="99"/>
    <w:semiHidden/>
    <w:rsid w:val="00A67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B5EB9-46EE-4BC2-A3A8-5F7A9E915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972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4</cp:revision>
  <cp:lastPrinted>2021-07-01T08:34:00Z</cp:lastPrinted>
  <dcterms:created xsi:type="dcterms:W3CDTF">2025-05-07T09:14:00Z</dcterms:created>
  <dcterms:modified xsi:type="dcterms:W3CDTF">2025-05-07T18:29:00Z</dcterms:modified>
</cp:coreProperties>
</file>