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5175" w:rsidRDefault="00AC35A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C5175" w:rsidRDefault="00AC35A9">
      <w:pPr>
        <w:rPr>
          <w:b/>
        </w:rPr>
      </w:pPr>
      <w:r>
        <w:rPr>
          <w:b/>
        </w:rPr>
        <w:t>Karta opisu zajęć (sylabus)</w:t>
      </w:r>
    </w:p>
    <w:p w:rsidR="003C5175" w:rsidRDefault="003C5175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 xml:space="preserve">Nazwa kierunku studiów </w:t>
            </w:r>
          </w:p>
          <w:p w:rsidR="003C5175" w:rsidRPr="00AC35A9" w:rsidRDefault="003C5175"/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Bezpieczeństwo i certyfikacja żywności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Nazwa modułu, także nazwa w języku angielskim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 xml:space="preserve">Urzędowe nadzory nad bezpieczeństwem żywności </w:t>
            </w:r>
          </w:p>
          <w:p w:rsidR="003C5175" w:rsidRPr="00AC35A9" w:rsidRDefault="00AC35A9">
            <w:r w:rsidRPr="00AC35A9">
              <w:t>The official controls on food safety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 xml:space="preserve">Język wykładowy </w:t>
            </w:r>
          </w:p>
          <w:p w:rsidR="003C5175" w:rsidRPr="00AC35A9" w:rsidRDefault="003C5175"/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polski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 xml:space="preserve">Rodzaj modułu </w:t>
            </w:r>
          </w:p>
          <w:p w:rsidR="003C5175" w:rsidRPr="00AC35A9" w:rsidRDefault="003C5175"/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obowiązkowy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Poziom studiów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drugiego stopnia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Forma studiów</w:t>
            </w:r>
          </w:p>
          <w:p w:rsidR="003C5175" w:rsidRPr="00AC35A9" w:rsidRDefault="003C5175"/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stacjonarne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Rok studiów dla kierunku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II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Semestr dla kierunku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3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Liczba punktów ECTS z podziałem na kontaktowe/niekontaktowe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3C5175"/>
          <w:p w:rsidR="003C5175" w:rsidRPr="00AC35A9" w:rsidRDefault="00AC35A9">
            <w:r w:rsidRPr="00AC35A9">
              <w:t>2 (1,4</w:t>
            </w:r>
            <w:r w:rsidR="005E7842">
              <w:t>8</w:t>
            </w:r>
            <w:r w:rsidRPr="00AC35A9">
              <w:t xml:space="preserve"> /0,</w:t>
            </w:r>
            <w:r w:rsidR="005E7842">
              <w:t>52</w:t>
            </w:r>
            <w:r w:rsidRPr="00AC35A9">
              <w:t>)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Tytuł naukowy/stopień naukowy, imię i nazwisko osoby odpowiedzialnej za moduł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 xml:space="preserve">dr n. wet. Zbigniew Bełkot 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Jednostka oferująca moduł</w:t>
            </w:r>
          </w:p>
          <w:p w:rsidR="003C5175" w:rsidRPr="00AC35A9" w:rsidRDefault="003C5175"/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Katedra Higieny Żywności Zwierzęcego Pochodzenia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Cel modułu</w:t>
            </w:r>
          </w:p>
          <w:p w:rsidR="003C5175" w:rsidRPr="00AC35A9" w:rsidRDefault="003C5175"/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Opanowanie przez studentów wiedzy i umiejętności w zakresie urzędowego nadzoru nad żywnością w Polsce</w:t>
            </w:r>
          </w:p>
        </w:tc>
      </w:tr>
      <w:tr w:rsidR="003C5175">
        <w:trPr>
          <w:trHeight w:val="236"/>
        </w:trPr>
        <w:tc>
          <w:tcPr>
            <w:tcW w:w="2943" w:type="dxa"/>
            <w:vMerge w:val="restart"/>
            <w:shd w:val="clear" w:color="auto" w:fill="auto"/>
          </w:tcPr>
          <w:p w:rsidR="003C5175" w:rsidRPr="00AC35A9" w:rsidRDefault="00AC35A9">
            <w:pPr>
              <w:jc w:val="both"/>
            </w:pPr>
            <w:r w:rsidRPr="00AC35A9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 xml:space="preserve">Wiedza: 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 xml:space="preserve">W1. Absolwent zna i rozumie zasady oceny i nadzoru rynku produktów żywnościowych w obszarze obowiązkowym i dobrowolnym 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 xml:space="preserve">W2.  Absolwent zna i rozumie obowiązujące przepisy prawa żywnościowego, system identyfikowalności oraz zasady funkcjonowania urzędowych nadzorów nad bezpieczeństwem żywności 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W3.  Absolwent zna i rozumie metody i narzędzia stosowane w celu rozwiązywania zadań z zakresu zapewnienia i zarządzania bezpieczeństwem i jakością żywności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Umiejętności: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U1. Absolwent potrafi ocenić jakość żywności pod kątem jej bezpieczeństwa dla zdrowia człowieka.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U2. Absolwent potrafi samodzielnie zastosować odpowiednie metody i narzędzia jakości do analizy funkcjonowania systemów oraz rozwiązywania typowych problemów z zakresu bezpieczeństwa żywności.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U3. Absolwent potrafi</w:t>
            </w:r>
            <w:r w:rsidRPr="00AC35A9">
              <w:rPr>
                <w:color w:val="FF0000"/>
              </w:rPr>
              <w:t xml:space="preserve"> </w:t>
            </w:r>
            <w:r w:rsidRPr="00AC35A9">
              <w:t>samodzielnie identyfikować potencjalne zagrożenia oraz dokonać ich oceny i przeprowadzić analizę ryzyka na etapie produkcji podstawowej, w przemyśle rolno-spożywczym i gastronomii oraz wprowadzić odpowiednie działania w celu ich wyeliminowania lub ograniczenia.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Kompetencje społeczne: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K1. Absolwent jest gotów do stałego uzupełniania wiedzy i samodoskonalenia w zakresie przepisów prawa żywnościowego, standardów jakościowych, metod oceny jakości żywności oraz stosowanych metod i narzędzi weryfikacji, potrafiąc jednocześnie zorganizować proces uczenia się innych osób.</w:t>
            </w:r>
          </w:p>
        </w:tc>
      </w:tr>
      <w:tr w:rsidR="003C5175">
        <w:trPr>
          <w:trHeight w:val="233"/>
        </w:trPr>
        <w:tc>
          <w:tcPr>
            <w:tcW w:w="2943" w:type="dxa"/>
            <w:vMerge/>
            <w:shd w:val="clear" w:color="auto" w:fill="auto"/>
          </w:tcPr>
          <w:p w:rsidR="003C5175" w:rsidRPr="00AC35A9" w:rsidRDefault="003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K2. Absolwent jest gotów do pracy zespołowej podczas realizowania zadań przewidzianych programem studiów; pełni różne funkcje, określa priorytety oraz umie oszacować czas potrzebny na realizację zleconego zadania i jego etapów.</w:t>
            </w:r>
          </w:p>
        </w:tc>
      </w:tr>
      <w:tr w:rsidR="003C5175">
        <w:trPr>
          <w:trHeight w:val="233"/>
        </w:trPr>
        <w:tc>
          <w:tcPr>
            <w:tcW w:w="2943" w:type="dxa"/>
            <w:shd w:val="clear" w:color="auto" w:fill="auto"/>
          </w:tcPr>
          <w:p w:rsidR="003C5175" w:rsidRPr="00AC35A9" w:rsidRDefault="003C5175">
            <w:pPr>
              <w:rPr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K3. Absolwent jest gotów do działań w sposób przedsiębiorczy, racjonalny i zgodny ze zdobytą wiedzą. Jest kreatywny w poszukiwaniu nowych zastosowań znanych metod i narzędzi w rozwiązaniu problemów naukowych i zawodowych.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Odniesienie modułowych efektów uczenia się do kierunkowych efektów uczenia się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pPr>
              <w:jc w:val="both"/>
            </w:pPr>
            <w:r w:rsidRPr="00AC35A9">
              <w:t>Kod efektu modułowego – kod efektu kierunkowego</w:t>
            </w:r>
          </w:p>
          <w:p w:rsidR="003C5175" w:rsidRPr="00AC35A9" w:rsidRDefault="00AC35A9">
            <w:pPr>
              <w:jc w:val="both"/>
            </w:pPr>
            <w:r w:rsidRPr="00AC35A9">
              <w:t>W1 - BC2_W01, W02, W03, W07</w:t>
            </w:r>
          </w:p>
          <w:p w:rsidR="003C5175" w:rsidRPr="00AC35A9" w:rsidRDefault="00AC35A9">
            <w:pPr>
              <w:jc w:val="both"/>
            </w:pPr>
            <w:r w:rsidRPr="00AC35A9">
              <w:t>W2 – BC2_W04, W05, W06, W11</w:t>
            </w:r>
          </w:p>
          <w:p w:rsidR="003C5175" w:rsidRPr="00AC35A9" w:rsidRDefault="00AC35A9">
            <w:pPr>
              <w:jc w:val="both"/>
            </w:pPr>
            <w:r w:rsidRPr="00AC35A9">
              <w:t>W3 -  BC2_W08, W12, W13</w:t>
            </w:r>
          </w:p>
          <w:p w:rsidR="003C5175" w:rsidRPr="00AC35A9" w:rsidRDefault="00AC35A9">
            <w:pPr>
              <w:jc w:val="both"/>
            </w:pPr>
            <w:r w:rsidRPr="00AC35A9">
              <w:t>U1 –  BC2_U01, U02, U04</w:t>
            </w:r>
          </w:p>
          <w:p w:rsidR="003C5175" w:rsidRPr="00AC35A9" w:rsidRDefault="00AC35A9">
            <w:pPr>
              <w:jc w:val="both"/>
            </w:pPr>
            <w:r w:rsidRPr="00AC35A9">
              <w:t>U2 -  BC2_U03, U06, U07</w:t>
            </w:r>
          </w:p>
          <w:p w:rsidR="003C5175" w:rsidRPr="00AC35A9" w:rsidRDefault="00AC35A9">
            <w:pPr>
              <w:jc w:val="both"/>
            </w:pPr>
            <w:r w:rsidRPr="00AC35A9">
              <w:t>U3 – BC2_U08, U09, U12, U13</w:t>
            </w:r>
          </w:p>
          <w:p w:rsidR="003C5175" w:rsidRPr="00AC35A9" w:rsidRDefault="00AC35A9">
            <w:pPr>
              <w:jc w:val="both"/>
            </w:pPr>
            <w:r w:rsidRPr="00AC35A9">
              <w:t>K1 – BC2_K01, K02</w:t>
            </w:r>
          </w:p>
          <w:p w:rsidR="003C5175" w:rsidRPr="00AC35A9" w:rsidRDefault="00AC35A9">
            <w:pPr>
              <w:jc w:val="both"/>
            </w:pPr>
            <w:r w:rsidRPr="00AC35A9">
              <w:t>K2 – BC2_K03</w:t>
            </w:r>
          </w:p>
          <w:p w:rsidR="003C5175" w:rsidRPr="00AC35A9" w:rsidRDefault="00AC35A9">
            <w:pPr>
              <w:jc w:val="both"/>
            </w:pPr>
            <w:r w:rsidRPr="00AC35A9">
              <w:t xml:space="preserve">K3 – BC2_K04 </w:t>
            </w:r>
          </w:p>
          <w:p w:rsidR="003C5175" w:rsidRPr="00AC35A9" w:rsidRDefault="003C5175">
            <w:pPr>
              <w:jc w:val="both"/>
            </w:pP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Odniesienie modułowych efektów uczenia się do efektów inżynierskich (jeżeli dotyczy)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pPr>
              <w:jc w:val="both"/>
            </w:pPr>
            <w:r w:rsidRPr="00AC35A9">
              <w:t>Nie dotyczy</w:t>
            </w:r>
          </w:p>
          <w:p w:rsidR="003C5175" w:rsidRPr="00AC35A9" w:rsidRDefault="003C5175">
            <w:pPr>
              <w:jc w:val="both"/>
            </w:pP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 xml:space="preserve">Wymagania wstępne i dodatkowe 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3C5175">
            <w:pPr>
              <w:jc w:val="both"/>
            </w:pP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 xml:space="preserve">Treści programowe modułu </w:t>
            </w:r>
          </w:p>
          <w:p w:rsidR="003C5175" w:rsidRPr="00AC35A9" w:rsidRDefault="003C5175"/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 xml:space="preserve">Istotą modułu kształcenia jest zapoznanie studentów z: a) z prawnymi uwarunkowaniami i formami urzędowych kontroli żywności w Polsce; b) strukturą i funkcjonowaniem inspekcji sprawujących nadzór na żywnością; c) zasadami i sposobami przeprowadzania urzędowych kontroli żywności; d) zasadami i funkcjonowaniem systemów zapewniających jakość żywności </w:t>
            </w:r>
          </w:p>
          <w:p w:rsidR="003C5175" w:rsidRPr="00AC35A9" w:rsidRDefault="003C5175"/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Wykaz literatury podstawowej i uzupełniającej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pPr>
              <w:ind w:left="2"/>
            </w:pPr>
            <w:r w:rsidRPr="00AC35A9">
              <w:t>1.Rajchert D. Nowak D. (red). - Jakość i bezpieczeństwo żywności. Wyd. SGGW, Warszawa 2006</w:t>
            </w:r>
          </w:p>
          <w:p w:rsidR="003C5175" w:rsidRPr="00AC35A9" w:rsidRDefault="00AC35A9">
            <w:pPr>
              <w:ind w:left="2"/>
            </w:pPr>
            <w:r w:rsidRPr="00AC35A9">
              <w:t xml:space="preserve">2.Kołożyn-Krajewska D., Sikora T. – Zarządzanie bezpieczeństwem żywności. Teoria i praktyka. Wyd. C.H. Beck, Warszawa 2010 </w:t>
            </w:r>
          </w:p>
          <w:p w:rsidR="003C5175" w:rsidRPr="00AC35A9" w:rsidRDefault="00AC35A9">
            <w:pPr>
              <w:ind w:left="2"/>
            </w:pPr>
            <w:r w:rsidRPr="00AC35A9">
              <w:t xml:space="preserve">3. Aktualne akty prawne obowiązkowe w nadzorze nad żywnością dostępne w witrynach internetowych: </w:t>
            </w:r>
            <w:hyperlink r:id="rId8">
              <w:r w:rsidRPr="00AC35A9">
                <w:rPr>
                  <w:color w:val="0000FF"/>
                  <w:u w:val="single"/>
                </w:rPr>
                <w:t>http://isap.sejm.gov.pl/</w:t>
              </w:r>
            </w:hyperlink>
            <w:r w:rsidRPr="00AC35A9">
              <w:t xml:space="preserve">, </w:t>
            </w:r>
            <w:hyperlink r:id="rId9">
              <w:r w:rsidRPr="00AC35A9">
                <w:rPr>
                  <w:color w:val="0000FF"/>
                  <w:u w:val="single"/>
                </w:rPr>
                <w:t>http://eur-lex.europa.eu</w:t>
              </w:r>
            </w:hyperlink>
            <w:r w:rsidRPr="00AC35A9">
              <w:t>.</w:t>
            </w:r>
          </w:p>
          <w:p w:rsidR="003C5175" w:rsidRPr="00AC35A9" w:rsidRDefault="00AC35A9">
            <w:r w:rsidRPr="00AC35A9">
              <w:t xml:space="preserve">4. Normalizacja powiązana z nadzorem nad żywnością dostępna w witrynach internetowych: </w:t>
            </w:r>
            <w:hyperlink r:id="rId10">
              <w:r w:rsidRPr="00AC35A9">
                <w:rPr>
                  <w:color w:val="0000FF"/>
                  <w:u w:val="single"/>
                </w:rPr>
                <w:t>http://www.pkn.pl/</w:t>
              </w:r>
            </w:hyperlink>
            <w:r w:rsidRPr="00AC35A9">
              <w:t xml:space="preserve">, </w:t>
            </w:r>
            <w:hyperlink r:id="rId11">
              <w:r w:rsidRPr="00AC35A9">
                <w:rPr>
                  <w:color w:val="0000FF"/>
                  <w:u w:val="single"/>
                </w:rPr>
                <w:t>http://normy.up.lublin.pl</w:t>
              </w:r>
            </w:hyperlink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lastRenderedPageBreak/>
              <w:t>Planowane formy/działania/metody dydaktyczne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r w:rsidRPr="00AC35A9">
              <w:t>Metody dydaktyczne:</w:t>
            </w:r>
          </w:p>
          <w:p w:rsidR="003C5175" w:rsidRPr="00AC35A9" w:rsidRDefault="00AC35A9">
            <w:r w:rsidRPr="00AC35A9">
              <w:t>wykład, dyskusja, ćwiczenia programowe z wykorzystaniem komputera, wypełnianie obowiązującej dokumentacji, konsultacje</w:t>
            </w: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Sposoby weryfikacji oraz formy dokumentowania osiągniętych efektów uczenia się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pPr>
              <w:rPr>
                <w:color w:val="000000"/>
                <w:u w:val="single"/>
              </w:rPr>
            </w:pPr>
            <w:r w:rsidRPr="00AC35A9">
              <w:rPr>
                <w:color w:val="000000"/>
                <w:u w:val="single"/>
              </w:rPr>
              <w:t>SPOSOBY WERYFIKACJI:</w:t>
            </w:r>
          </w:p>
          <w:p w:rsidR="003C5175" w:rsidRPr="00AC35A9" w:rsidRDefault="00AC35A9">
            <w:r w:rsidRPr="00AC35A9">
              <w:t>W1-W3, U1-U3 i K1-K3 pisemne zaliczenie końcowe, U2-U3 i K2 ocena wypełniania przykładowych dokumentów związanych z nadzorem nad żywnością</w:t>
            </w:r>
          </w:p>
          <w:p w:rsidR="003C5175" w:rsidRPr="00AC35A9" w:rsidRDefault="003C5175">
            <w:pPr>
              <w:rPr>
                <w:color w:val="000000"/>
              </w:rPr>
            </w:pPr>
          </w:p>
          <w:p w:rsidR="003C5175" w:rsidRPr="00AC35A9" w:rsidRDefault="00AC35A9">
            <w:pPr>
              <w:rPr>
                <w:color w:val="000000"/>
              </w:rPr>
            </w:pPr>
            <w:r w:rsidRPr="00AC35A9">
              <w:rPr>
                <w:color w:val="000000"/>
              </w:rPr>
              <w:t>Szczegółowe kryteria przy ocenie zaliczenia i prac kontrolnych</w:t>
            </w:r>
          </w:p>
          <w:p w:rsidR="003C5175" w:rsidRPr="00AC35A9" w:rsidRDefault="00AC35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C35A9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3C5175" w:rsidRPr="00AC35A9" w:rsidRDefault="00AC35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C35A9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3C5175" w:rsidRPr="00AC35A9" w:rsidRDefault="00AC35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C35A9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3C5175" w:rsidRPr="00AC35A9" w:rsidRDefault="00AC35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C35A9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3C5175" w:rsidRPr="00AC35A9" w:rsidRDefault="00AC35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AC35A9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3C5175" w:rsidRPr="00AC35A9" w:rsidRDefault="003C5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/>
              <w:jc w:val="both"/>
              <w:rPr>
                <w:color w:val="000000"/>
              </w:rPr>
            </w:pPr>
          </w:p>
          <w:p w:rsidR="003C5175" w:rsidRPr="00AC35A9" w:rsidRDefault="00AC3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  <w:r w:rsidRPr="00AC35A9">
              <w:rPr>
                <w:color w:val="000000"/>
              </w:rPr>
              <w:t>Formy dokumentowania osiągniętych wyników: dziennik prowadzącego, arkusze zaliczeniowe, wypełniona dokumentacja związana z nadzorem nad żywnością</w:t>
            </w:r>
          </w:p>
          <w:p w:rsidR="003C5175" w:rsidRPr="00AC35A9" w:rsidRDefault="003C5175">
            <w:pPr>
              <w:jc w:val="both"/>
              <w:rPr>
                <w:color w:val="000000"/>
              </w:rPr>
            </w:pPr>
          </w:p>
        </w:tc>
      </w:tr>
      <w:tr w:rsidR="003C5175"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t>Elementy i wagi mające wpływ na ocenę końcową</w:t>
            </w:r>
          </w:p>
          <w:p w:rsidR="003C5175" w:rsidRPr="00AC35A9" w:rsidRDefault="003C5175"/>
          <w:p w:rsidR="003C5175" w:rsidRPr="00AC35A9" w:rsidRDefault="003C5175"/>
        </w:tc>
        <w:tc>
          <w:tcPr>
            <w:tcW w:w="6343" w:type="dxa"/>
            <w:shd w:val="clear" w:color="auto" w:fill="auto"/>
          </w:tcPr>
          <w:p w:rsidR="003C5175" w:rsidRPr="00AC35A9" w:rsidRDefault="00AC35A9">
            <w:pPr>
              <w:jc w:val="both"/>
            </w:pPr>
            <w:r w:rsidRPr="00AC35A9">
              <w:t>Ocena końcowa z egzaminu pisemnego 100 %</w:t>
            </w:r>
          </w:p>
          <w:p w:rsidR="003C5175" w:rsidRPr="00AC35A9" w:rsidRDefault="00AC35A9">
            <w:pPr>
              <w:jc w:val="both"/>
              <w:rPr>
                <w:color w:val="000000"/>
              </w:rPr>
            </w:pPr>
            <w:r w:rsidRPr="00AC35A9">
              <w:rPr>
                <w:color w:val="000000"/>
              </w:rPr>
              <w:t>Warunki te są przedstawiane na pierwszych zajęciach z modułu.</w:t>
            </w:r>
          </w:p>
        </w:tc>
      </w:tr>
      <w:tr w:rsidR="003C5175">
        <w:trPr>
          <w:trHeight w:val="60"/>
        </w:trPr>
        <w:tc>
          <w:tcPr>
            <w:tcW w:w="2943" w:type="dxa"/>
            <w:shd w:val="clear" w:color="auto" w:fill="auto"/>
          </w:tcPr>
          <w:p w:rsidR="003C5175" w:rsidRPr="00AC35A9" w:rsidRDefault="00AC35A9">
            <w:pPr>
              <w:jc w:val="both"/>
            </w:pPr>
            <w:r w:rsidRPr="00AC35A9">
              <w:t>Bilans punktów ECTS</w:t>
            </w:r>
          </w:p>
          <w:p w:rsidR="003C5175" w:rsidRPr="00AC35A9" w:rsidRDefault="003C5175">
            <w:pPr>
              <w:jc w:val="both"/>
            </w:pPr>
          </w:p>
          <w:p w:rsidR="003C5175" w:rsidRPr="00AC35A9" w:rsidRDefault="003C51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343" w:type="dxa"/>
            <w:shd w:val="clear" w:color="auto" w:fill="auto"/>
          </w:tcPr>
          <w:p w:rsidR="003C5175" w:rsidRPr="00AC35A9" w:rsidRDefault="003C5175">
            <w:pPr>
              <w:rPr>
                <w:color w:val="FF0000"/>
              </w:rPr>
            </w:pPr>
          </w:p>
          <w:tbl>
            <w:tblPr>
              <w:tblStyle w:val="a0"/>
              <w:tblW w:w="51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7"/>
              <w:gridCol w:w="1133"/>
              <w:gridCol w:w="1041"/>
            </w:tblGrid>
            <w:tr w:rsidR="003C5175" w:rsidRPr="00AC35A9">
              <w:trPr>
                <w:cantSplit/>
                <w:trHeight w:val="196"/>
              </w:trPr>
              <w:tc>
                <w:tcPr>
                  <w:tcW w:w="5131" w:type="dxa"/>
                  <w:gridSpan w:val="3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3C5175" w:rsidRPr="00AC35A9" w:rsidRDefault="00AC35A9">
                  <w:pPr>
                    <w:jc w:val="center"/>
                    <w:rPr>
                      <w:b/>
                      <w:strike/>
                    </w:rPr>
                  </w:pPr>
                  <w:r w:rsidRPr="00AC35A9">
                    <w:rPr>
                      <w:b/>
                    </w:rPr>
                    <w:t>KONTAKTOWE</w:t>
                  </w:r>
                </w:p>
              </w:tc>
            </w:tr>
            <w:tr w:rsidR="003C5175" w:rsidRPr="00AC35A9">
              <w:trPr>
                <w:cantSplit/>
                <w:trHeight w:val="88"/>
              </w:trPr>
              <w:tc>
                <w:tcPr>
                  <w:tcW w:w="29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175" w:rsidRPr="00AC35A9" w:rsidRDefault="003C517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175" w:rsidRPr="00AC35A9" w:rsidRDefault="00AC35A9">
                  <w:pPr>
                    <w:rPr>
                      <w:i/>
                    </w:rPr>
                  </w:pPr>
                  <w:r w:rsidRPr="00AC35A9">
                    <w:rPr>
                      <w:i/>
                    </w:rPr>
                    <w:t>Godziny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175" w:rsidRPr="00AC35A9" w:rsidRDefault="00AC35A9">
                  <w:pPr>
                    <w:rPr>
                      <w:i/>
                    </w:rPr>
                  </w:pPr>
                  <w:r w:rsidRPr="00AC35A9">
                    <w:rPr>
                      <w:i/>
                    </w:rPr>
                    <w:t>ECTS</w:t>
                  </w:r>
                </w:p>
              </w:tc>
            </w:tr>
            <w:tr w:rsidR="003C5175" w:rsidRPr="00AC35A9">
              <w:trPr>
                <w:cantSplit/>
                <w:trHeight w:val="301"/>
              </w:trPr>
              <w:tc>
                <w:tcPr>
                  <w:tcW w:w="29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175" w:rsidRPr="00AC35A9" w:rsidRDefault="00AC35A9">
                  <w:r w:rsidRPr="00AC35A9">
                    <w:t>wykłady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15h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0,60</w:t>
                  </w:r>
                </w:p>
              </w:tc>
            </w:tr>
            <w:tr w:rsidR="003C5175" w:rsidRPr="00AC35A9">
              <w:trPr>
                <w:cantSplit/>
                <w:trHeight w:val="180"/>
              </w:trPr>
              <w:tc>
                <w:tcPr>
                  <w:tcW w:w="2957" w:type="dxa"/>
                  <w:tcBorders>
                    <w:top w:val="single" w:sz="4" w:space="0" w:color="000000"/>
                  </w:tcBorders>
                </w:tcPr>
                <w:p w:rsidR="003C5175" w:rsidRPr="00AC35A9" w:rsidRDefault="00AC35A9">
                  <w:r w:rsidRPr="00AC35A9">
                    <w:t xml:space="preserve">ćwiczenia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</w:tcBorders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15 h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</w:tcBorders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0,60</w:t>
                  </w:r>
                </w:p>
              </w:tc>
            </w:tr>
            <w:tr w:rsidR="003C5175" w:rsidRPr="00AC35A9">
              <w:trPr>
                <w:cantSplit/>
                <w:trHeight w:val="108"/>
              </w:trPr>
              <w:tc>
                <w:tcPr>
                  <w:tcW w:w="2957" w:type="dxa"/>
                </w:tcPr>
                <w:p w:rsidR="003C5175" w:rsidRPr="00AC35A9" w:rsidRDefault="00AC35A9">
                  <w:r w:rsidRPr="00AC35A9">
                    <w:t>konsultacje</w:t>
                  </w:r>
                </w:p>
              </w:tc>
              <w:tc>
                <w:tcPr>
                  <w:tcW w:w="1133" w:type="dxa"/>
                  <w:vAlign w:val="center"/>
                </w:tcPr>
                <w:p w:rsidR="003C5175" w:rsidRPr="00AC35A9" w:rsidRDefault="005E7842">
                  <w:pPr>
                    <w:jc w:val="center"/>
                  </w:pPr>
                  <w:r>
                    <w:t>5</w:t>
                  </w:r>
                  <w:r w:rsidR="00AC35A9" w:rsidRPr="00AC35A9">
                    <w:t xml:space="preserve"> h</w:t>
                  </w:r>
                </w:p>
              </w:tc>
              <w:tc>
                <w:tcPr>
                  <w:tcW w:w="1041" w:type="dxa"/>
                  <w:vAlign w:val="center"/>
                </w:tcPr>
                <w:p w:rsidR="003C5175" w:rsidRPr="00AC35A9" w:rsidRDefault="00AC35A9">
                  <w:r w:rsidRPr="00AC35A9">
                    <w:t xml:space="preserve">   0,2</w:t>
                  </w:r>
                </w:p>
              </w:tc>
            </w:tr>
            <w:tr w:rsidR="003C5175" w:rsidRPr="00AC35A9">
              <w:trPr>
                <w:cantSplit/>
                <w:trHeight w:val="181"/>
              </w:trPr>
              <w:tc>
                <w:tcPr>
                  <w:tcW w:w="2957" w:type="dxa"/>
                </w:tcPr>
                <w:p w:rsidR="003C5175" w:rsidRPr="00AC35A9" w:rsidRDefault="00AC35A9">
                  <w:r w:rsidRPr="00AC35A9">
                    <w:t>zaliczenie poprawkowe</w:t>
                  </w:r>
                </w:p>
              </w:tc>
              <w:tc>
                <w:tcPr>
                  <w:tcW w:w="1133" w:type="dxa"/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2 h</w:t>
                  </w:r>
                </w:p>
              </w:tc>
              <w:tc>
                <w:tcPr>
                  <w:tcW w:w="1041" w:type="dxa"/>
                  <w:vAlign w:val="center"/>
                </w:tcPr>
                <w:p w:rsidR="003C5175" w:rsidRPr="00AC35A9" w:rsidRDefault="00AC35A9">
                  <w:r w:rsidRPr="00AC35A9">
                    <w:t xml:space="preserve">   0,08</w:t>
                  </w:r>
                </w:p>
              </w:tc>
            </w:tr>
            <w:tr w:rsidR="003C5175" w:rsidRPr="00AC35A9">
              <w:trPr>
                <w:cantSplit/>
                <w:trHeight w:val="178"/>
              </w:trPr>
              <w:tc>
                <w:tcPr>
                  <w:tcW w:w="2957" w:type="dxa"/>
                </w:tcPr>
                <w:p w:rsidR="003C5175" w:rsidRPr="00AC35A9" w:rsidRDefault="00AC35A9">
                  <w:pPr>
                    <w:rPr>
                      <w:b/>
                    </w:rPr>
                  </w:pPr>
                  <w:r w:rsidRPr="00AC35A9">
                    <w:rPr>
                      <w:b/>
                    </w:rPr>
                    <w:lastRenderedPageBreak/>
                    <w:t>RAZEM kontaktowe</w:t>
                  </w:r>
                </w:p>
              </w:tc>
              <w:tc>
                <w:tcPr>
                  <w:tcW w:w="1133" w:type="dxa"/>
                  <w:vAlign w:val="center"/>
                </w:tcPr>
                <w:p w:rsidR="003C5175" w:rsidRPr="00AC35A9" w:rsidRDefault="00AC35A9">
                  <w:pPr>
                    <w:rPr>
                      <w:b/>
                    </w:rPr>
                  </w:pPr>
                  <w:r w:rsidRPr="00AC35A9">
                    <w:rPr>
                      <w:b/>
                    </w:rPr>
                    <w:t xml:space="preserve">   3</w:t>
                  </w:r>
                  <w:r w:rsidR="005E7842">
                    <w:rPr>
                      <w:b/>
                    </w:rPr>
                    <w:t>7</w:t>
                  </w:r>
                  <w:r w:rsidRPr="00AC35A9">
                    <w:rPr>
                      <w:b/>
                    </w:rPr>
                    <w:t xml:space="preserve"> h</w:t>
                  </w:r>
                </w:p>
              </w:tc>
              <w:tc>
                <w:tcPr>
                  <w:tcW w:w="1041" w:type="dxa"/>
                  <w:vAlign w:val="center"/>
                </w:tcPr>
                <w:p w:rsidR="003C5175" w:rsidRPr="00AC35A9" w:rsidRDefault="00AC35A9">
                  <w:pPr>
                    <w:jc w:val="center"/>
                    <w:rPr>
                      <w:b/>
                    </w:rPr>
                  </w:pPr>
                  <w:r w:rsidRPr="00AC35A9">
                    <w:rPr>
                      <w:b/>
                    </w:rPr>
                    <w:t>1,4</w:t>
                  </w:r>
                  <w:r w:rsidR="005E7842">
                    <w:rPr>
                      <w:b/>
                    </w:rPr>
                    <w:t>8</w:t>
                  </w:r>
                </w:p>
              </w:tc>
            </w:tr>
            <w:tr w:rsidR="003C5175" w:rsidRPr="00AC35A9">
              <w:trPr>
                <w:cantSplit/>
                <w:trHeight w:val="178"/>
              </w:trPr>
              <w:tc>
                <w:tcPr>
                  <w:tcW w:w="5131" w:type="dxa"/>
                  <w:gridSpan w:val="3"/>
                  <w:shd w:val="clear" w:color="auto" w:fill="F2F2F2"/>
                </w:tcPr>
                <w:p w:rsidR="003C5175" w:rsidRPr="00AC35A9" w:rsidRDefault="00AC35A9">
                  <w:pPr>
                    <w:jc w:val="center"/>
                    <w:rPr>
                      <w:b/>
                    </w:rPr>
                  </w:pPr>
                  <w:r w:rsidRPr="00AC35A9">
                    <w:rPr>
                      <w:b/>
                    </w:rPr>
                    <w:t>NIEKONTAKTOWE</w:t>
                  </w:r>
                </w:p>
              </w:tc>
            </w:tr>
            <w:tr w:rsidR="003C5175" w:rsidRPr="00AC35A9">
              <w:trPr>
                <w:cantSplit/>
                <w:trHeight w:val="178"/>
              </w:trPr>
              <w:tc>
                <w:tcPr>
                  <w:tcW w:w="2957" w:type="dxa"/>
                </w:tcPr>
                <w:p w:rsidR="003C5175" w:rsidRPr="00AC35A9" w:rsidRDefault="00AC35A9">
                  <w:r w:rsidRPr="00AC35A9">
                    <w:t>przygotowanie do ćwiczeń</w:t>
                  </w:r>
                </w:p>
              </w:tc>
              <w:tc>
                <w:tcPr>
                  <w:tcW w:w="1133" w:type="dxa"/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3 h</w:t>
                  </w:r>
                </w:p>
              </w:tc>
              <w:tc>
                <w:tcPr>
                  <w:tcW w:w="1041" w:type="dxa"/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0,12</w:t>
                  </w:r>
                </w:p>
              </w:tc>
            </w:tr>
            <w:tr w:rsidR="003C5175" w:rsidRPr="00AC35A9">
              <w:trPr>
                <w:cantSplit/>
                <w:trHeight w:val="44"/>
              </w:trPr>
              <w:tc>
                <w:tcPr>
                  <w:tcW w:w="2957" w:type="dxa"/>
                </w:tcPr>
                <w:p w:rsidR="003C5175" w:rsidRPr="00AC35A9" w:rsidRDefault="00AC35A9">
                  <w:r w:rsidRPr="00AC35A9">
                    <w:t>studiowanie literatury</w:t>
                  </w:r>
                </w:p>
              </w:tc>
              <w:tc>
                <w:tcPr>
                  <w:tcW w:w="1133" w:type="dxa"/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4 h</w:t>
                  </w:r>
                </w:p>
              </w:tc>
              <w:tc>
                <w:tcPr>
                  <w:tcW w:w="1041" w:type="dxa"/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>0,16</w:t>
                  </w:r>
                </w:p>
              </w:tc>
            </w:tr>
            <w:tr w:rsidR="003C5175" w:rsidRPr="00AC35A9">
              <w:trPr>
                <w:cantSplit/>
                <w:trHeight w:val="44"/>
              </w:trPr>
              <w:tc>
                <w:tcPr>
                  <w:tcW w:w="2957" w:type="dxa"/>
                </w:tcPr>
                <w:p w:rsidR="003C5175" w:rsidRPr="00AC35A9" w:rsidRDefault="00AC35A9">
                  <w:r w:rsidRPr="00AC35A9">
                    <w:t>przygotowanie do zaliczenia</w:t>
                  </w:r>
                </w:p>
              </w:tc>
              <w:tc>
                <w:tcPr>
                  <w:tcW w:w="1133" w:type="dxa"/>
                  <w:vAlign w:val="center"/>
                </w:tcPr>
                <w:p w:rsidR="003C5175" w:rsidRPr="00AC35A9" w:rsidRDefault="00AC35A9">
                  <w:pPr>
                    <w:jc w:val="center"/>
                  </w:pPr>
                  <w:r w:rsidRPr="00AC35A9">
                    <w:t xml:space="preserve"> </w:t>
                  </w:r>
                  <w:r w:rsidR="005E7842">
                    <w:t>6</w:t>
                  </w:r>
                  <w:r w:rsidRPr="00AC35A9">
                    <w:t xml:space="preserve"> h</w:t>
                  </w:r>
                </w:p>
              </w:tc>
              <w:tc>
                <w:tcPr>
                  <w:tcW w:w="1041" w:type="dxa"/>
                  <w:vAlign w:val="center"/>
                </w:tcPr>
                <w:p w:rsidR="003C5175" w:rsidRPr="00AC35A9" w:rsidRDefault="00AC35A9">
                  <w:r w:rsidRPr="00AC35A9">
                    <w:t xml:space="preserve">   0,</w:t>
                  </w:r>
                  <w:r w:rsidR="005E7842">
                    <w:t>24</w:t>
                  </w:r>
                </w:p>
              </w:tc>
            </w:tr>
            <w:tr w:rsidR="003C5175" w:rsidRPr="00AC35A9">
              <w:trPr>
                <w:cantSplit/>
                <w:trHeight w:val="197"/>
              </w:trPr>
              <w:tc>
                <w:tcPr>
                  <w:tcW w:w="2957" w:type="dxa"/>
                </w:tcPr>
                <w:p w:rsidR="003C5175" w:rsidRPr="00AC35A9" w:rsidRDefault="00AC35A9">
                  <w:pPr>
                    <w:rPr>
                      <w:b/>
                    </w:rPr>
                  </w:pPr>
                  <w:r w:rsidRPr="00AC35A9">
                    <w:rPr>
                      <w:b/>
                    </w:rPr>
                    <w:t>RAZEM niekontaktowe/pkt ECTS</w:t>
                  </w:r>
                </w:p>
              </w:tc>
              <w:tc>
                <w:tcPr>
                  <w:tcW w:w="1133" w:type="dxa"/>
                  <w:vAlign w:val="center"/>
                </w:tcPr>
                <w:p w:rsidR="003C5175" w:rsidRPr="00AC35A9" w:rsidRDefault="005E78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 w:rsidR="00AC35A9" w:rsidRPr="00AC35A9">
                    <w:rPr>
                      <w:b/>
                    </w:rPr>
                    <w:t xml:space="preserve"> h</w:t>
                  </w:r>
                </w:p>
              </w:tc>
              <w:tc>
                <w:tcPr>
                  <w:tcW w:w="1041" w:type="dxa"/>
                  <w:vAlign w:val="center"/>
                </w:tcPr>
                <w:p w:rsidR="003C5175" w:rsidRPr="00AC35A9" w:rsidRDefault="00AC35A9">
                  <w:pPr>
                    <w:rPr>
                      <w:b/>
                    </w:rPr>
                  </w:pPr>
                  <w:r w:rsidRPr="00AC35A9">
                    <w:rPr>
                      <w:b/>
                    </w:rPr>
                    <w:t xml:space="preserve">   0,</w:t>
                  </w:r>
                  <w:r w:rsidR="005E7842">
                    <w:rPr>
                      <w:b/>
                    </w:rPr>
                    <w:t>52</w:t>
                  </w:r>
                </w:p>
              </w:tc>
            </w:tr>
          </w:tbl>
          <w:p w:rsidR="003C5175" w:rsidRPr="00AC35A9" w:rsidRDefault="003C5175">
            <w:pPr>
              <w:jc w:val="both"/>
            </w:pPr>
          </w:p>
        </w:tc>
      </w:tr>
      <w:tr w:rsidR="003C5175">
        <w:trPr>
          <w:trHeight w:val="718"/>
        </w:trPr>
        <w:tc>
          <w:tcPr>
            <w:tcW w:w="2943" w:type="dxa"/>
            <w:shd w:val="clear" w:color="auto" w:fill="auto"/>
          </w:tcPr>
          <w:p w:rsidR="003C5175" w:rsidRPr="00AC35A9" w:rsidRDefault="00AC35A9">
            <w:r w:rsidRPr="00AC35A9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343" w:type="dxa"/>
            <w:shd w:val="clear" w:color="auto" w:fill="auto"/>
          </w:tcPr>
          <w:p w:rsidR="003C5175" w:rsidRPr="00AC35A9" w:rsidRDefault="00AC35A9">
            <w:pPr>
              <w:jc w:val="both"/>
            </w:pPr>
            <w:r w:rsidRPr="00AC35A9">
              <w:t xml:space="preserve">udział w wykładach - 15 h, ćwiczeniach - 15 h, konsultacjach - </w:t>
            </w:r>
            <w:r w:rsidR="005E7842">
              <w:t>5</w:t>
            </w:r>
            <w:r w:rsidRPr="00AC35A9">
              <w:t xml:space="preserve"> h, zaliczeniu poprawkowym - 2 h</w:t>
            </w:r>
          </w:p>
        </w:tc>
      </w:tr>
    </w:tbl>
    <w:p w:rsidR="003C5175" w:rsidRDefault="003C5175"/>
    <w:p w:rsidR="003C5175" w:rsidRDefault="003C5175"/>
    <w:p w:rsidR="003C5175" w:rsidRDefault="003C5175"/>
    <w:p w:rsidR="003C5175" w:rsidRDefault="003C5175"/>
    <w:p w:rsidR="003C5175" w:rsidRDefault="003C5175">
      <w:pPr>
        <w:rPr>
          <w:i/>
        </w:rPr>
      </w:pPr>
    </w:p>
    <w:p w:rsidR="003C5175" w:rsidRDefault="003C5175"/>
    <w:p w:rsidR="003C5175" w:rsidRDefault="003C5175"/>
    <w:sectPr w:rsidR="003C5175">
      <w:footerReference w:type="default" r:id="rId12"/>
      <w:headerReference w:type="first" r:id="rId13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1F5" w:rsidRDefault="00AC35A9">
      <w:r>
        <w:separator/>
      </w:r>
    </w:p>
  </w:endnote>
  <w:endnote w:type="continuationSeparator" w:id="0">
    <w:p w:rsidR="00EA51F5" w:rsidRDefault="00AC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5175" w:rsidRDefault="00AC35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3C5175" w:rsidRDefault="003C5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1F5" w:rsidRDefault="00AC35A9">
      <w:r>
        <w:separator/>
      </w:r>
    </w:p>
  </w:footnote>
  <w:footnote w:type="continuationSeparator" w:id="0">
    <w:p w:rsidR="00EA51F5" w:rsidRDefault="00AC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5175" w:rsidRDefault="00AC35A9">
    <w:pPr>
      <w:tabs>
        <w:tab w:val="left" w:pos="5205"/>
      </w:tabs>
      <w:spacing w:after="120"/>
    </w:pPr>
    <w:r>
      <w:tab/>
    </w:r>
  </w:p>
  <w:p w:rsidR="003C5175" w:rsidRDefault="003C5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94AD9"/>
    <w:multiLevelType w:val="multilevel"/>
    <w:tmpl w:val="3FB21AF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85500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175"/>
    <w:rsid w:val="00006104"/>
    <w:rsid w:val="003C5175"/>
    <w:rsid w:val="005E7842"/>
    <w:rsid w:val="00AC35A9"/>
    <w:rsid w:val="00E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94A4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61078F"/>
  </w:style>
  <w:style w:type="character" w:customStyle="1" w:styleId="shorttext">
    <w:name w:val="short_text"/>
    <w:basedOn w:val="Domylnaczcionkaakapitu"/>
    <w:rsid w:val="0061078F"/>
  </w:style>
  <w:style w:type="character" w:styleId="Hipercze">
    <w:name w:val="Hyperlink"/>
    <w:rsid w:val="00EA16E0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my.up.lubl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k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d2/WT/Nw+oSuqpeD/NkDGAwnw==">CgMxLjA4AHIhMWxVdS02bTlJVXBoaHpLdmZTbkVWbTRPRWhBb250MlRf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5868</Characters>
  <Application>Microsoft Office Word</Application>
  <DocSecurity>0</DocSecurity>
  <Lines>48</Lines>
  <Paragraphs>13</Paragraphs>
  <ScaleCrop>false</ScaleCrop>
  <Company>Microsoft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2024-11-06T21:03:00Z</dcterms:created>
  <dcterms:modified xsi:type="dcterms:W3CDTF">2024-12-06T23:41:00Z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