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905B6D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905B6D" w:rsidRPr="00B84A12" w:rsidRDefault="00905B6D" w:rsidP="004C0125">
            <w:r w:rsidRPr="00B84A12">
              <w:t xml:space="preserve">Nazwa kierunku studiów </w:t>
            </w:r>
          </w:p>
          <w:p w14:paraId="1587F4B2" w14:textId="77777777" w:rsidR="00905B6D" w:rsidRPr="00B84A12" w:rsidRDefault="00905B6D" w:rsidP="004C0125"/>
        </w:tc>
        <w:tc>
          <w:tcPr>
            <w:tcW w:w="5344" w:type="dxa"/>
            <w:shd w:val="clear" w:color="auto" w:fill="auto"/>
          </w:tcPr>
          <w:p w14:paraId="1BC3009F" w14:textId="1CB84A31" w:rsidR="00905B6D" w:rsidRPr="00B84A12" w:rsidRDefault="00905B6D" w:rsidP="004C0125">
            <w:r w:rsidRPr="00B84A12">
              <w:t>Bezpieczeństwo i certyfikacja żywności</w:t>
            </w:r>
          </w:p>
        </w:tc>
      </w:tr>
      <w:tr w:rsidR="00120707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120707" w:rsidRPr="00B84A12" w:rsidRDefault="00120707" w:rsidP="004C0125">
            <w:r w:rsidRPr="00B84A12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79ADF1F" w14:textId="77777777" w:rsidR="00120707" w:rsidRPr="00B84A12" w:rsidRDefault="00120707" w:rsidP="003B0DBA">
            <w:r w:rsidRPr="00B84A12">
              <w:t>Żywność funkcjonalna</w:t>
            </w:r>
          </w:p>
          <w:p w14:paraId="3AE1B6C6" w14:textId="7B6E6FD1" w:rsidR="00120707" w:rsidRPr="00B84A12" w:rsidRDefault="00120707" w:rsidP="00FB1AE2">
            <w:r w:rsidRPr="00B84A12">
              <w:rPr>
                <w:rStyle w:val="jlqj4b"/>
                <w:lang w:val="en"/>
              </w:rPr>
              <w:t>Functional food</w:t>
            </w:r>
          </w:p>
        </w:tc>
      </w:tr>
      <w:tr w:rsidR="00120707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120707" w:rsidRPr="00B84A12" w:rsidRDefault="00120707" w:rsidP="004C0125">
            <w:r w:rsidRPr="00B84A12">
              <w:t xml:space="preserve">Język wykładowy </w:t>
            </w:r>
          </w:p>
          <w:p w14:paraId="13206882" w14:textId="77777777" w:rsidR="00120707" w:rsidRPr="00B84A12" w:rsidRDefault="00120707" w:rsidP="004C0125"/>
        </w:tc>
        <w:tc>
          <w:tcPr>
            <w:tcW w:w="5344" w:type="dxa"/>
            <w:shd w:val="clear" w:color="auto" w:fill="auto"/>
          </w:tcPr>
          <w:p w14:paraId="5D55EF5C" w14:textId="4DEEF81E" w:rsidR="00120707" w:rsidRPr="00B84A12" w:rsidRDefault="00120707" w:rsidP="004C0125">
            <w:r w:rsidRPr="00B84A12">
              <w:t>polski</w:t>
            </w:r>
          </w:p>
        </w:tc>
      </w:tr>
      <w:tr w:rsidR="00120707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120707" w:rsidRPr="00B84A12" w:rsidRDefault="00120707" w:rsidP="004C0125">
            <w:pPr>
              <w:autoSpaceDE w:val="0"/>
              <w:autoSpaceDN w:val="0"/>
              <w:adjustRightInd w:val="0"/>
            </w:pPr>
            <w:r w:rsidRPr="00B84A12">
              <w:t xml:space="preserve">Rodzaj modułu </w:t>
            </w:r>
          </w:p>
          <w:p w14:paraId="54BCF93E" w14:textId="77777777" w:rsidR="00120707" w:rsidRPr="00B84A12" w:rsidRDefault="00120707" w:rsidP="004C0125"/>
        </w:tc>
        <w:tc>
          <w:tcPr>
            <w:tcW w:w="5344" w:type="dxa"/>
            <w:shd w:val="clear" w:color="auto" w:fill="auto"/>
          </w:tcPr>
          <w:p w14:paraId="70B2B1A3" w14:textId="276489AC" w:rsidR="00120707" w:rsidRPr="00B84A12" w:rsidRDefault="00120707" w:rsidP="004C0125">
            <w:r w:rsidRPr="00B84A12">
              <w:t>fakultatywny</w:t>
            </w:r>
          </w:p>
        </w:tc>
      </w:tr>
      <w:tr w:rsidR="00120707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120707" w:rsidRPr="00B84A12" w:rsidRDefault="00120707" w:rsidP="004C0125">
            <w:r w:rsidRPr="00B84A12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104F65D7" w:rsidR="00120707" w:rsidRPr="00B84A12" w:rsidRDefault="00120707" w:rsidP="004C0125">
            <w:r w:rsidRPr="00B84A12">
              <w:t>pierwszego stopnia</w:t>
            </w:r>
          </w:p>
        </w:tc>
      </w:tr>
      <w:tr w:rsidR="00120707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120707" w:rsidRPr="00B84A12" w:rsidRDefault="00120707" w:rsidP="004C0125">
            <w:r w:rsidRPr="00B84A12">
              <w:t>Forma studiów</w:t>
            </w:r>
          </w:p>
          <w:p w14:paraId="43425DE5" w14:textId="77777777" w:rsidR="00120707" w:rsidRPr="00B84A12" w:rsidRDefault="00120707" w:rsidP="004C0125"/>
        </w:tc>
        <w:tc>
          <w:tcPr>
            <w:tcW w:w="5344" w:type="dxa"/>
            <w:shd w:val="clear" w:color="auto" w:fill="auto"/>
          </w:tcPr>
          <w:p w14:paraId="6418EEA2" w14:textId="6AF9006A" w:rsidR="00120707" w:rsidRPr="00B84A12" w:rsidRDefault="00120707" w:rsidP="004C0125">
            <w:r w:rsidRPr="00B84A12">
              <w:t>stacjonarne</w:t>
            </w:r>
          </w:p>
        </w:tc>
      </w:tr>
      <w:tr w:rsidR="00120707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120707" w:rsidRPr="00B84A12" w:rsidRDefault="00120707" w:rsidP="004C0125">
            <w:r w:rsidRPr="00B84A12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BAE4B9A" w:rsidR="00120707" w:rsidRPr="00B84A12" w:rsidRDefault="00120707" w:rsidP="004C0125">
            <w:r w:rsidRPr="00B84A12">
              <w:t>IV</w:t>
            </w:r>
          </w:p>
        </w:tc>
      </w:tr>
      <w:tr w:rsidR="00120707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120707" w:rsidRPr="00B84A12" w:rsidRDefault="00120707" w:rsidP="004C0125">
            <w:r w:rsidRPr="00B84A12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4E9AE64" w:rsidR="00120707" w:rsidRPr="00B84A12" w:rsidRDefault="00120707" w:rsidP="004C0125">
            <w:r w:rsidRPr="00B84A12">
              <w:t>7</w:t>
            </w:r>
          </w:p>
        </w:tc>
      </w:tr>
      <w:tr w:rsidR="00120707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120707" w:rsidRPr="00B84A12" w:rsidRDefault="00120707" w:rsidP="004C0125">
            <w:pPr>
              <w:autoSpaceDE w:val="0"/>
              <w:autoSpaceDN w:val="0"/>
              <w:adjustRightInd w:val="0"/>
            </w:pPr>
            <w:r w:rsidRPr="00B84A12">
              <w:t>Liczba punktów ECTS z podziałem na kontaktowe/</w:t>
            </w:r>
            <w:proofErr w:type="spellStart"/>
            <w:r w:rsidRPr="00B84A12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4262EC1E" w:rsidR="00120707" w:rsidRPr="00B84A12" w:rsidRDefault="00120707" w:rsidP="00120707">
            <w:r w:rsidRPr="00B84A12">
              <w:t>3 (1,52/1,48)</w:t>
            </w:r>
          </w:p>
        </w:tc>
      </w:tr>
      <w:tr w:rsidR="00905B6D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05B6D" w:rsidRPr="00B84A12" w:rsidRDefault="00905B6D" w:rsidP="00F02E5D">
            <w:pPr>
              <w:autoSpaceDE w:val="0"/>
              <w:autoSpaceDN w:val="0"/>
              <w:adjustRightInd w:val="0"/>
            </w:pPr>
            <w:r w:rsidRPr="00B84A12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F7753D5" w:rsidR="00905B6D" w:rsidRPr="00B84A12" w:rsidRDefault="00905B6D" w:rsidP="004C0125">
            <w:r w:rsidRPr="00B84A12">
              <w:t>dr hab. Piotr Domaradzki, prof. uczelni</w:t>
            </w:r>
          </w:p>
        </w:tc>
      </w:tr>
      <w:tr w:rsidR="00905B6D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05B6D" w:rsidRPr="00B84A12" w:rsidRDefault="00905B6D" w:rsidP="004C0125">
            <w:r w:rsidRPr="00B84A12">
              <w:t>Jednostka oferująca moduł</w:t>
            </w:r>
          </w:p>
          <w:p w14:paraId="08637ABB" w14:textId="77777777" w:rsidR="00905B6D" w:rsidRPr="00B84A12" w:rsidRDefault="00905B6D" w:rsidP="004C0125"/>
        </w:tc>
        <w:tc>
          <w:tcPr>
            <w:tcW w:w="5344" w:type="dxa"/>
            <w:shd w:val="clear" w:color="auto" w:fill="auto"/>
          </w:tcPr>
          <w:p w14:paraId="6FD7DAD6" w14:textId="77777777" w:rsidR="00905B6D" w:rsidRPr="00B84A12" w:rsidRDefault="00905B6D" w:rsidP="00162E4C">
            <w:r w:rsidRPr="00B84A12">
              <w:t xml:space="preserve">Katedra Oceny Jakości i Przetwórstwa </w:t>
            </w:r>
          </w:p>
          <w:p w14:paraId="6B680D21" w14:textId="46F32706" w:rsidR="00905B6D" w:rsidRPr="00B84A12" w:rsidRDefault="00905B6D" w:rsidP="004C0125">
            <w:r w:rsidRPr="00B84A12">
              <w:t>Produktów Zwierzęcych</w:t>
            </w:r>
          </w:p>
        </w:tc>
      </w:tr>
      <w:tr w:rsidR="00E423D2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E423D2" w:rsidRPr="00B84A12" w:rsidRDefault="00E423D2" w:rsidP="004C0125">
            <w:r w:rsidRPr="00B84A12">
              <w:t>Cel modułu</w:t>
            </w:r>
          </w:p>
          <w:p w14:paraId="5788912F" w14:textId="77777777" w:rsidR="00E423D2" w:rsidRPr="00B84A12" w:rsidRDefault="00E423D2" w:rsidP="004C0125"/>
        </w:tc>
        <w:tc>
          <w:tcPr>
            <w:tcW w:w="5344" w:type="dxa"/>
            <w:shd w:val="clear" w:color="auto" w:fill="auto"/>
          </w:tcPr>
          <w:p w14:paraId="2D36A1CD" w14:textId="6FE7721F" w:rsidR="00E423D2" w:rsidRPr="00B84A12" w:rsidRDefault="00E423D2" w:rsidP="004C0125">
            <w:pPr>
              <w:autoSpaceDE w:val="0"/>
              <w:autoSpaceDN w:val="0"/>
              <w:adjustRightInd w:val="0"/>
            </w:pPr>
            <w:r w:rsidRPr="00B84A12">
              <w:rPr>
                <w:color w:val="000000"/>
              </w:rPr>
              <w:t xml:space="preserve">Zapoznanie studentów z pojęciem żywności funkcjonalnej i jej znaczenia w zapewnieniu zdrowia oraz dobrej kondycji i samopoczucia człowieka. Przedstawienie aktualnej sytuacji prawnej dotyczącej żywności funkcjonalnej. Zapoznanie z poszczególnymi kategoriami środków spożywczych dostępnych na rynku o znamionach żywności funkcjonalnej. Przedstawienie najważniejszych substancji biologicznie czynnych i żywnościowych źródeł ich występowania </w:t>
            </w:r>
          </w:p>
        </w:tc>
      </w:tr>
      <w:tr w:rsidR="00E423D2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E423D2" w:rsidRPr="00B84A12" w:rsidRDefault="00E423D2" w:rsidP="00206860">
            <w:pPr>
              <w:jc w:val="both"/>
            </w:pPr>
            <w:r w:rsidRPr="00B84A12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55B1FEF7" w:rsidR="00E423D2" w:rsidRPr="00B84A12" w:rsidRDefault="00E423D2" w:rsidP="004C0125">
            <w:r w:rsidRPr="00B84A12">
              <w:t xml:space="preserve">Wiedza: </w:t>
            </w:r>
          </w:p>
        </w:tc>
      </w:tr>
      <w:tr w:rsidR="00E423D2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5B650D4" w:rsidR="00E423D2" w:rsidRPr="00B84A12" w:rsidRDefault="00E423D2" w:rsidP="004C0125">
            <w:r w:rsidRPr="00B84A12">
              <w:t>1. Ma wiedzę z zakresu terminologii stosowanej w odniesieniu do żywności funkcjonalnej oraz jej składników oddziaływujących korzystnie na organizm człowieka.</w:t>
            </w:r>
          </w:p>
        </w:tc>
      </w:tr>
      <w:tr w:rsidR="00E423D2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0E478486" w:rsidR="00E423D2" w:rsidRPr="00B84A12" w:rsidRDefault="00E423D2" w:rsidP="004C0125"/>
        </w:tc>
      </w:tr>
      <w:tr w:rsidR="00E423D2" w:rsidRPr="00F02E5D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5331D199" w:rsidR="00E423D2" w:rsidRPr="00B84A12" w:rsidRDefault="00E423D2" w:rsidP="004C0125">
            <w:r w:rsidRPr="00B84A12">
              <w:t>Umiejętności:</w:t>
            </w:r>
          </w:p>
        </w:tc>
      </w:tr>
      <w:tr w:rsidR="00E423D2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5018D902" w:rsidR="00E423D2" w:rsidRPr="00B84A12" w:rsidRDefault="00E423D2" w:rsidP="004C0125">
            <w:r w:rsidRPr="00B84A12">
              <w:rPr>
                <w:color w:val="000000"/>
              </w:rPr>
              <w:t>1.Umie klasyfikować żywność pod kątem jej właściwości funkcjonalnych i dobrać do potrzeb określonych grup konsumentów</w:t>
            </w:r>
          </w:p>
        </w:tc>
      </w:tr>
      <w:tr w:rsidR="00E423D2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FA63411" w:rsidR="00E423D2" w:rsidRPr="00B84A12" w:rsidRDefault="00E423D2" w:rsidP="007B02C4">
            <w:r w:rsidRPr="00B84A12">
              <w:t xml:space="preserve">2. Umie wykorzystać dostępne źródła informacji, w tym elektroniczne dotyczące substancji biologicznie czynnych zawartych w surowcach i produktach żywnościowych w celu przygotowania i przedstawienia </w:t>
            </w:r>
            <w:r w:rsidR="007B02C4" w:rsidRPr="00B84A12">
              <w:t>prezentacji i zadań projektowych</w:t>
            </w:r>
          </w:p>
        </w:tc>
      </w:tr>
      <w:tr w:rsidR="00E423D2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BAE74D0" w:rsidR="00E423D2" w:rsidRPr="00B84A12" w:rsidRDefault="00E423D2" w:rsidP="004C0125"/>
        </w:tc>
      </w:tr>
      <w:tr w:rsidR="00E423D2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7D7F7526" w:rsidR="00E423D2" w:rsidRPr="00B84A12" w:rsidRDefault="00E423D2" w:rsidP="004C0125">
            <w:r w:rsidRPr="00B84A12">
              <w:t>Kompetencje społeczne:</w:t>
            </w:r>
          </w:p>
        </w:tc>
      </w:tr>
      <w:tr w:rsidR="00E423D2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24B7A57A" w:rsidR="00E423D2" w:rsidRPr="00B84A12" w:rsidRDefault="00E423D2" w:rsidP="004C0125">
            <w:r w:rsidRPr="00B84A12">
              <w:t>1.Rozumie potrzebę ciągłego dokształcania się i doskonalenia swojej wiedzy z zakresu wpływu różnych składników żywności na zdrowie człowieka</w:t>
            </w:r>
          </w:p>
        </w:tc>
      </w:tr>
      <w:tr w:rsidR="00E423D2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E423D2" w:rsidRPr="00B84A12" w:rsidRDefault="00E423D2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A8D24B0" w:rsidR="00E423D2" w:rsidRPr="00B84A12" w:rsidRDefault="00E423D2" w:rsidP="004C0125"/>
        </w:tc>
      </w:tr>
      <w:tr w:rsidR="00E423D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E423D2" w:rsidRPr="00B84A12" w:rsidRDefault="00E423D2" w:rsidP="00AE37C2">
            <w:r w:rsidRPr="00B84A12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654B934" w14:textId="34926A15" w:rsidR="00E423D2" w:rsidRPr="00B84A12" w:rsidRDefault="00E423D2" w:rsidP="00E423D2">
            <w:pPr>
              <w:jc w:val="both"/>
            </w:pPr>
            <w:r w:rsidRPr="00B84A12">
              <w:t xml:space="preserve">W1 - </w:t>
            </w:r>
            <w:r w:rsidR="00776E5F" w:rsidRPr="00B84A12">
              <w:t xml:space="preserve">BC1_W08, </w:t>
            </w:r>
            <w:r w:rsidRPr="00B84A12">
              <w:t>BC1_W10</w:t>
            </w:r>
          </w:p>
          <w:p w14:paraId="2B51E9D7" w14:textId="77777777" w:rsidR="00E423D2" w:rsidRPr="00B84A12" w:rsidRDefault="00E423D2" w:rsidP="00E423D2">
            <w:pPr>
              <w:jc w:val="both"/>
            </w:pPr>
            <w:r w:rsidRPr="00B84A12">
              <w:t>U1 - BC1_U04</w:t>
            </w:r>
          </w:p>
          <w:p w14:paraId="0084B0F4" w14:textId="37BC38A2" w:rsidR="00E423D2" w:rsidRPr="00B84A12" w:rsidRDefault="00E423D2" w:rsidP="00E423D2">
            <w:pPr>
              <w:jc w:val="both"/>
            </w:pPr>
            <w:r w:rsidRPr="00B84A12">
              <w:t>U2 – BC1_U</w:t>
            </w:r>
            <w:r w:rsidR="00776E5F" w:rsidRPr="00B84A12">
              <w:t>06</w:t>
            </w:r>
          </w:p>
          <w:p w14:paraId="1F5C079B" w14:textId="7D853DEE" w:rsidR="00E423D2" w:rsidRPr="00B84A12" w:rsidRDefault="00E423D2" w:rsidP="00E423D2">
            <w:pPr>
              <w:jc w:val="both"/>
            </w:pPr>
            <w:r w:rsidRPr="00B84A12">
              <w:t>K1 – BC1_K01</w:t>
            </w:r>
          </w:p>
        </w:tc>
      </w:tr>
      <w:tr w:rsidR="00E423D2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E423D2" w:rsidRPr="00B84A12" w:rsidRDefault="00E423D2" w:rsidP="00AE37C2">
            <w:r w:rsidRPr="00B84A12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63F8FDEE" w:rsidR="00E423D2" w:rsidRPr="00B84A12" w:rsidRDefault="00E423D2" w:rsidP="00E423D2">
            <w:pPr>
              <w:jc w:val="both"/>
            </w:pPr>
            <w:r w:rsidRPr="00B84A12">
              <w:t>U2 – InzBC_U05</w:t>
            </w:r>
          </w:p>
        </w:tc>
      </w:tr>
      <w:tr w:rsidR="00E423D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E423D2" w:rsidRPr="00B84A12" w:rsidRDefault="00E423D2" w:rsidP="00AE37C2">
            <w:r w:rsidRPr="00B84A12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7981D425" w14:textId="77777777" w:rsidR="00E423D2" w:rsidRPr="00B84A12" w:rsidRDefault="00E423D2" w:rsidP="003B0DBA">
            <w:pPr>
              <w:jc w:val="both"/>
            </w:pPr>
            <w:r w:rsidRPr="00B84A12">
              <w:t>Prawo żywnościowe, Podstawy żywienia człowieka</w:t>
            </w:r>
          </w:p>
          <w:p w14:paraId="22B36F54" w14:textId="5CD88561" w:rsidR="00E423D2" w:rsidRPr="00B84A12" w:rsidRDefault="00E423D2" w:rsidP="00905B6D">
            <w:pPr>
              <w:jc w:val="both"/>
            </w:pPr>
          </w:p>
        </w:tc>
      </w:tr>
      <w:tr w:rsidR="00E423D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E423D2" w:rsidRPr="00B84A12" w:rsidRDefault="00E423D2" w:rsidP="00AE37C2">
            <w:r w:rsidRPr="00B84A12">
              <w:t xml:space="preserve">Treści programowe modułu </w:t>
            </w:r>
          </w:p>
          <w:p w14:paraId="4DD31D43" w14:textId="77777777" w:rsidR="00E423D2" w:rsidRPr="00B84A12" w:rsidRDefault="00E423D2" w:rsidP="00AE37C2"/>
        </w:tc>
        <w:tc>
          <w:tcPr>
            <w:tcW w:w="5344" w:type="dxa"/>
            <w:shd w:val="clear" w:color="auto" w:fill="auto"/>
          </w:tcPr>
          <w:p w14:paraId="7095A455" w14:textId="71C97B9C" w:rsidR="00E423D2" w:rsidRPr="00B84A12" w:rsidRDefault="00E423D2" w:rsidP="00905B6D">
            <w:r w:rsidRPr="00B84A12">
              <w:t>Podstawowe pojęcia związane z żywnością funkcjonalną, kategorie środków spożywczych spełniających kryteria żywności funkcjonalnej</w:t>
            </w:r>
            <w:r w:rsidR="0095581B">
              <w:t xml:space="preserve"> (m.in. żywność dla określonych grup, </w:t>
            </w:r>
            <w:r w:rsidR="0095581B" w:rsidRPr="0095581B">
              <w:t>specjalnego przeznaczenia</w:t>
            </w:r>
            <w:r w:rsidR="0095581B">
              <w:t xml:space="preserve"> medycznego</w:t>
            </w:r>
            <w:r w:rsidR="0095581B" w:rsidRPr="0095581B">
              <w:t xml:space="preserve">, fortyfikowana, </w:t>
            </w:r>
            <w:r w:rsidR="0055322E" w:rsidRPr="0095581B">
              <w:t xml:space="preserve">wygodna, minimalnie przetworzona, </w:t>
            </w:r>
            <w:r w:rsidR="0095581B" w:rsidRPr="0095581B">
              <w:t xml:space="preserve">suplementy diety, </w:t>
            </w:r>
            <w:proofErr w:type="spellStart"/>
            <w:r w:rsidR="0095581B" w:rsidRPr="0095581B">
              <w:t>nutraceutyki</w:t>
            </w:r>
            <w:proofErr w:type="spellEnd"/>
            <w:r w:rsidR="0095581B" w:rsidRPr="0095581B">
              <w:t>, nowa żywność</w:t>
            </w:r>
            <w:r w:rsidR="0095581B">
              <w:t xml:space="preserve"> (</w:t>
            </w:r>
            <w:proofErr w:type="spellStart"/>
            <w:r w:rsidR="0095581B">
              <w:t>Novel</w:t>
            </w:r>
            <w:proofErr w:type="spellEnd"/>
            <w:r w:rsidR="0095581B">
              <w:t xml:space="preserve"> Food)</w:t>
            </w:r>
            <w:r w:rsidR="0095581B" w:rsidRPr="0095581B">
              <w:t xml:space="preserve">, </w:t>
            </w:r>
            <w:proofErr w:type="spellStart"/>
            <w:r w:rsidR="0095581B" w:rsidRPr="0095581B">
              <w:t>mood</w:t>
            </w:r>
            <w:proofErr w:type="spellEnd"/>
            <w:r w:rsidR="0095581B" w:rsidRPr="0095581B">
              <w:t xml:space="preserve"> food,</w:t>
            </w:r>
            <w:r w:rsidR="000E5708">
              <w:t xml:space="preserve"> </w:t>
            </w:r>
            <w:proofErr w:type="spellStart"/>
            <w:r w:rsidR="000E5708" w:rsidRPr="000E5708">
              <w:t>Better</w:t>
            </w:r>
            <w:proofErr w:type="spellEnd"/>
            <w:r w:rsidR="000E5708" w:rsidRPr="000E5708">
              <w:t xml:space="preserve"> For </w:t>
            </w:r>
            <w:proofErr w:type="spellStart"/>
            <w:r w:rsidR="000E5708" w:rsidRPr="000E5708">
              <w:t>You</w:t>
            </w:r>
            <w:proofErr w:type="spellEnd"/>
            <w:r w:rsidR="000E5708" w:rsidRPr="000E5708">
              <w:t xml:space="preserve"> </w:t>
            </w:r>
            <w:r w:rsidR="000E5708">
              <w:t xml:space="preserve">(BFY), </w:t>
            </w:r>
            <w:proofErr w:type="spellStart"/>
            <w:r w:rsidR="000E5708">
              <w:t>superfoods</w:t>
            </w:r>
            <w:proofErr w:type="spellEnd"/>
            <w:r w:rsidR="0055322E">
              <w:t xml:space="preserve"> </w:t>
            </w:r>
            <w:r w:rsidR="000E5708">
              <w:t>/</w:t>
            </w:r>
            <w:proofErr w:type="spellStart"/>
            <w:r w:rsidR="0095581B" w:rsidRPr="0095581B">
              <w:t>superfruits</w:t>
            </w:r>
            <w:proofErr w:type="spellEnd"/>
            <w:r w:rsidR="0095581B" w:rsidRPr="0095581B">
              <w:t xml:space="preserve"> itp.).</w:t>
            </w:r>
            <w:r w:rsidRPr="00B84A12">
              <w:t>, substancje biologicznie czynne w żywności i ich oddziaływanie na organizm człowieka.</w:t>
            </w:r>
          </w:p>
        </w:tc>
      </w:tr>
      <w:tr w:rsidR="00E423D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E423D2" w:rsidRPr="00B84A12" w:rsidRDefault="00E423D2" w:rsidP="00AE37C2">
            <w:r w:rsidRPr="00B84A12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9139D15" w14:textId="6784BA81" w:rsidR="00E423D2" w:rsidRPr="00B84A12" w:rsidRDefault="00E423D2" w:rsidP="00905B6D">
            <w:r w:rsidRPr="00B84A12">
              <w:t>Literatura wymagana:</w:t>
            </w:r>
          </w:p>
          <w:p w14:paraId="49F69DC7" w14:textId="10F2D173" w:rsidR="00E423D2" w:rsidRPr="00B84A12" w:rsidRDefault="00E423D2" w:rsidP="00E423D2">
            <w:r w:rsidRPr="00B84A12">
              <w:t>1. Czapski J., Górecka D (red.). Żywność prozdrowotna- składniki i technologia. Wydaw. UP w Poznaniu, Poznań, 2014.</w:t>
            </w:r>
          </w:p>
          <w:p w14:paraId="150FC060" w14:textId="4B01047B" w:rsidR="00E423D2" w:rsidRPr="00B84A12" w:rsidRDefault="00E423D2" w:rsidP="00E423D2">
            <w:r w:rsidRPr="00B84A12">
              <w:t>2. Świderski F. (red.). Żywność wygodna i żywność funkcjonalna. WNT, Warszawa, 2018.</w:t>
            </w:r>
          </w:p>
          <w:p w14:paraId="06441B32" w14:textId="77777777" w:rsidR="00E423D2" w:rsidRPr="00B84A12" w:rsidRDefault="00E423D2" w:rsidP="00905B6D"/>
          <w:p w14:paraId="179C13AF" w14:textId="5E2DFBDA" w:rsidR="00E423D2" w:rsidRPr="00B84A12" w:rsidRDefault="00E423D2" w:rsidP="00905B6D">
            <w:r w:rsidRPr="00B84A12">
              <w:t>Literatura zalecana:</w:t>
            </w:r>
          </w:p>
          <w:p w14:paraId="03A689A4" w14:textId="4526D0FD" w:rsidR="00E423D2" w:rsidRPr="00B84A12" w:rsidRDefault="00E423D2" w:rsidP="00E423D2">
            <w:r w:rsidRPr="00B84A12">
              <w:t xml:space="preserve">1. </w:t>
            </w:r>
            <w:proofErr w:type="spellStart"/>
            <w:r w:rsidRPr="00B84A12">
              <w:t>Kunachowicz</w:t>
            </w:r>
            <w:proofErr w:type="spellEnd"/>
            <w:r w:rsidRPr="00B84A12">
              <w:t xml:space="preserve"> H., Nadolna I., Iwanow K.,): Wartość odżywcza wybranych produktów spożywczych i typowych potraw. Wyd. PZWL, Warszawa, 2019.</w:t>
            </w:r>
          </w:p>
          <w:p w14:paraId="7A8B8958" w14:textId="3C49CEFC" w:rsidR="00E423D2" w:rsidRPr="00B84A12" w:rsidRDefault="00E423D2" w:rsidP="00E40755">
            <w:r w:rsidRPr="00B84A12">
              <w:t>4. Krajowe czasopisma naukowe i naukowo-techniczne - zakres: technologia żywności, dietetyka</w:t>
            </w:r>
          </w:p>
        </w:tc>
      </w:tr>
      <w:tr w:rsidR="00E423D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407E04F2" w:rsidR="00E423D2" w:rsidRPr="00B84A12" w:rsidRDefault="00E423D2" w:rsidP="00AE37C2">
            <w:r w:rsidRPr="00B84A12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1DB92C6C" w:rsidR="00E423D2" w:rsidRPr="00B84A12" w:rsidRDefault="00E423D2" w:rsidP="00AE37C2">
            <w:r w:rsidRPr="00B84A12">
              <w:t>Wykład multimedialny, konsultacje, dyskusja, praca zespołowa, wykonanie i przedstawienie prezentacji, projekt</w:t>
            </w:r>
          </w:p>
        </w:tc>
      </w:tr>
      <w:tr w:rsidR="00E423D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E423D2" w:rsidRPr="00B84A12" w:rsidRDefault="00E423D2" w:rsidP="00AE37C2">
            <w:r w:rsidRPr="00B84A12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10D8DC64" w14:textId="77777777" w:rsidR="00E423D2" w:rsidRPr="00B84A12" w:rsidRDefault="00E423D2" w:rsidP="00905B6D">
            <w:pPr>
              <w:jc w:val="both"/>
            </w:pPr>
            <w:r w:rsidRPr="00B84A12">
              <w:t>SPOSOBY WERYFIKACJI:</w:t>
            </w:r>
          </w:p>
          <w:p w14:paraId="44283BBB" w14:textId="326929BF" w:rsidR="00E423D2" w:rsidRPr="00B84A12" w:rsidRDefault="00E423D2" w:rsidP="00E423D2">
            <w:pPr>
              <w:jc w:val="both"/>
            </w:pPr>
            <w:r w:rsidRPr="00B84A12">
              <w:t>W1 – zaliczenie pisemne, ocena prezentacji</w:t>
            </w:r>
            <w:r w:rsidR="00F843EE" w:rsidRPr="00B84A12">
              <w:t>, sprawozdań</w:t>
            </w:r>
            <w:r w:rsidR="007616C4" w:rsidRPr="00B84A12">
              <w:t xml:space="preserve"> i projektu</w:t>
            </w:r>
          </w:p>
          <w:p w14:paraId="56884422" w14:textId="3660960C" w:rsidR="00E423D2" w:rsidRPr="00B84A12" w:rsidRDefault="00F843EE" w:rsidP="00E423D2">
            <w:pPr>
              <w:jc w:val="both"/>
            </w:pPr>
            <w:r w:rsidRPr="00B84A12">
              <w:t>U1</w:t>
            </w:r>
            <w:r w:rsidR="00E423D2" w:rsidRPr="00B84A12">
              <w:t xml:space="preserve"> –</w:t>
            </w:r>
            <w:r w:rsidR="007616C4" w:rsidRPr="00B84A12">
              <w:t xml:space="preserve"> o</w:t>
            </w:r>
            <w:r w:rsidRPr="00B84A12">
              <w:t>cena prezentacji, sprawozdań</w:t>
            </w:r>
            <w:r w:rsidR="007616C4" w:rsidRPr="00B84A12">
              <w:t xml:space="preserve"> i projektu</w:t>
            </w:r>
          </w:p>
          <w:p w14:paraId="16876101" w14:textId="2FBD3228" w:rsidR="00CB1F1B" w:rsidRPr="00B84A12" w:rsidRDefault="00F843EE" w:rsidP="00E423D2">
            <w:pPr>
              <w:jc w:val="both"/>
            </w:pPr>
            <w:r w:rsidRPr="00B84A12">
              <w:t>U2 – ocena prezentacji i projektu</w:t>
            </w:r>
          </w:p>
          <w:p w14:paraId="137ACDA4" w14:textId="5E42BE49" w:rsidR="00E423D2" w:rsidRPr="00B84A12" w:rsidRDefault="007616C4" w:rsidP="00E423D2">
            <w:pPr>
              <w:jc w:val="both"/>
            </w:pPr>
            <w:r w:rsidRPr="00B84A12">
              <w:t>K2 – ocena prezentacji i projektu</w:t>
            </w:r>
          </w:p>
          <w:p w14:paraId="61ADD7DC" w14:textId="77777777" w:rsidR="00E423D2" w:rsidRPr="00B84A12" w:rsidRDefault="00E423D2" w:rsidP="00E423D2">
            <w:pPr>
              <w:jc w:val="both"/>
            </w:pPr>
          </w:p>
          <w:p w14:paraId="2EE6FDE9" w14:textId="6FDE4A3C" w:rsidR="00E423D2" w:rsidRPr="00B84A12" w:rsidRDefault="00E423D2" w:rsidP="00760F90">
            <w:r w:rsidRPr="00B84A12">
              <w:t xml:space="preserve">FORMY DOKUMENTOWANIA </w:t>
            </w:r>
            <w:r w:rsidRPr="00B84A12">
              <w:lastRenderedPageBreak/>
              <w:t xml:space="preserve">OSIĄGNIĘTYCH EFEKTÓW UCZENIA SIĘ: </w:t>
            </w:r>
            <w:r w:rsidR="000125E9" w:rsidRPr="00B84A12">
              <w:t xml:space="preserve">dokumentacja opracowana przez studentów (prezentacje, projekty, sprawozdania) archiwizowane w formie cyfrowej lub pisemnej, dziennik prowadzącego, praca zaliczeniowa </w:t>
            </w:r>
            <w:r w:rsidRPr="00B84A12">
              <w:t>archiwizowan</w:t>
            </w:r>
            <w:r w:rsidR="000125E9" w:rsidRPr="00B84A12">
              <w:t>a</w:t>
            </w:r>
            <w:r w:rsidRPr="00B84A12">
              <w:t xml:space="preserve"> w formie papierowej</w:t>
            </w:r>
          </w:p>
          <w:p w14:paraId="7C8058A3" w14:textId="77777777" w:rsidR="00E423D2" w:rsidRPr="00B84A12" w:rsidRDefault="00E423D2" w:rsidP="00760F90">
            <w:pPr>
              <w:rPr>
                <w:color w:val="000000" w:themeColor="text1"/>
              </w:rPr>
            </w:pPr>
          </w:p>
          <w:p w14:paraId="6EA79CC6" w14:textId="77777777" w:rsidR="00E423D2" w:rsidRPr="00B84A12" w:rsidRDefault="00E423D2" w:rsidP="00760F90">
            <w:pPr>
              <w:rPr>
                <w:color w:val="000000" w:themeColor="text1"/>
              </w:rPr>
            </w:pPr>
            <w:r w:rsidRPr="00B84A12">
              <w:rPr>
                <w:color w:val="000000" w:themeColor="text1"/>
              </w:rPr>
              <w:t>Szczegółowe kryteria przy ocenie zaliczenia i prac kontrolnych</w:t>
            </w:r>
          </w:p>
          <w:p w14:paraId="2F363C8F" w14:textId="77777777" w:rsidR="00E423D2" w:rsidRPr="00B84A12" w:rsidRDefault="00E423D2" w:rsidP="00760F90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B84A12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EBE11B1" w14:textId="77777777" w:rsidR="00E423D2" w:rsidRPr="00B84A12" w:rsidRDefault="00E423D2" w:rsidP="00760F90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B84A12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6CB981AC" w14:textId="77777777" w:rsidR="00E423D2" w:rsidRPr="00B84A12" w:rsidRDefault="00E423D2" w:rsidP="00760F90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B84A12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364EECF" w14:textId="77777777" w:rsidR="00E423D2" w:rsidRPr="00B84A12" w:rsidRDefault="00E423D2" w:rsidP="00760F90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B84A12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122A515F" w:rsidR="00E423D2" w:rsidRPr="00B84A12" w:rsidRDefault="00E423D2" w:rsidP="00760F90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B84A12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E423D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E423D2" w:rsidRPr="00B84A12" w:rsidRDefault="00E423D2" w:rsidP="00AE37C2">
            <w:r w:rsidRPr="00B84A12">
              <w:lastRenderedPageBreak/>
              <w:t>Elementy i wagi mające wpływ na ocenę końcową</w:t>
            </w:r>
          </w:p>
          <w:p w14:paraId="1CD7C2AA" w14:textId="77777777" w:rsidR="00E423D2" w:rsidRPr="00B84A12" w:rsidRDefault="00E423D2" w:rsidP="00AE37C2"/>
          <w:p w14:paraId="1C53C0F0" w14:textId="77777777" w:rsidR="00E423D2" w:rsidRPr="00B84A12" w:rsidRDefault="00E423D2" w:rsidP="00AE37C2"/>
        </w:tc>
        <w:tc>
          <w:tcPr>
            <w:tcW w:w="5344" w:type="dxa"/>
            <w:shd w:val="clear" w:color="auto" w:fill="auto"/>
          </w:tcPr>
          <w:p w14:paraId="61AE32C0" w14:textId="77777777" w:rsidR="0001080D" w:rsidRPr="00B84A12" w:rsidRDefault="0001080D" w:rsidP="0001080D">
            <w:pPr>
              <w:jc w:val="both"/>
            </w:pPr>
            <w:r w:rsidRPr="00B84A12">
              <w:t>Ocena końcowa = ocena z zaliczenia pisemnego 50% + 50% ocena z ćwiczeń.</w:t>
            </w:r>
          </w:p>
          <w:p w14:paraId="72DDE84F" w14:textId="77777777" w:rsidR="0001080D" w:rsidRPr="00B84A12" w:rsidRDefault="0001080D" w:rsidP="0001080D">
            <w:pPr>
              <w:jc w:val="both"/>
            </w:pPr>
          </w:p>
          <w:p w14:paraId="1C532892" w14:textId="77777777" w:rsidR="0001080D" w:rsidRPr="00B84A12" w:rsidRDefault="0001080D" w:rsidP="0001080D">
            <w:pPr>
              <w:jc w:val="both"/>
            </w:pPr>
            <w:r w:rsidRPr="00B84A12">
              <w:t>Ocena z ćwiczeń = ocena ze sprawozdań 30% + ocena przygotowania i prezentacji zadań projektowych 70%</w:t>
            </w:r>
          </w:p>
          <w:p w14:paraId="3D4834A4" w14:textId="77777777" w:rsidR="0001080D" w:rsidRPr="00B84A12" w:rsidRDefault="0001080D" w:rsidP="0001080D">
            <w:pPr>
              <w:jc w:val="both"/>
            </w:pPr>
          </w:p>
          <w:p w14:paraId="541D6E1C" w14:textId="2214FEA2" w:rsidR="00E423D2" w:rsidRPr="00B84A12" w:rsidRDefault="00E423D2" w:rsidP="00760F90">
            <w:pPr>
              <w:jc w:val="both"/>
            </w:pPr>
            <w:r w:rsidRPr="00B84A12">
              <w:rPr>
                <w:color w:val="000000" w:themeColor="text1"/>
              </w:rPr>
              <w:t>Warunki te są przedstawiane na pierwszych zajęciach z modułu.</w:t>
            </w:r>
          </w:p>
        </w:tc>
      </w:tr>
      <w:tr w:rsidR="00E423D2" w:rsidRPr="00F02E5D" w14:paraId="23E86523" w14:textId="77777777" w:rsidTr="00F130E4">
        <w:trPr>
          <w:trHeight w:val="977"/>
        </w:trPr>
        <w:tc>
          <w:tcPr>
            <w:tcW w:w="3942" w:type="dxa"/>
            <w:shd w:val="clear" w:color="auto" w:fill="auto"/>
          </w:tcPr>
          <w:p w14:paraId="5029D552" w14:textId="77777777" w:rsidR="00E423D2" w:rsidRPr="00B84A12" w:rsidRDefault="00E423D2" w:rsidP="00AE37C2">
            <w:pPr>
              <w:jc w:val="both"/>
            </w:pPr>
            <w:r w:rsidRPr="00B84A12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113E9E3" w14:textId="4A1C1278" w:rsidR="00E423D2" w:rsidRPr="00B84A12" w:rsidRDefault="00E423D2" w:rsidP="00760F90">
            <w:pPr>
              <w:jc w:val="both"/>
              <w:rPr>
                <w:b/>
              </w:rPr>
            </w:pPr>
            <w:r w:rsidRPr="00B84A12">
              <w:rPr>
                <w:b/>
              </w:rPr>
              <w:t>Kontaktowe:</w:t>
            </w:r>
          </w:p>
          <w:p w14:paraId="140070F3" w14:textId="7B1E4019" w:rsidR="00E423D2" w:rsidRPr="00B84A12" w:rsidRDefault="00E423D2" w:rsidP="00760F90">
            <w:pPr>
              <w:jc w:val="both"/>
            </w:pPr>
            <w:r w:rsidRPr="00B84A12">
              <w:t>- wykłady – (15 godz. / 0,6 ECTS),</w:t>
            </w:r>
          </w:p>
          <w:p w14:paraId="6FF9D8B1" w14:textId="64C43781" w:rsidR="00E423D2" w:rsidRPr="00B84A12" w:rsidRDefault="00E423D2" w:rsidP="00760F90">
            <w:pPr>
              <w:jc w:val="both"/>
            </w:pPr>
            <w:r w:rsidRPr="00B84A12">
              <w:t>- zajęcia audytoryjne i laboratoryjne – (15</w:t>
            </w:r>
            <w:r w:rsidR="00DF5637" w:rsidRPr="00B84A12">
              <w:t xml:space="preserve"> </w:t>
            </w:r>
            <w:r w:rsidRPr="00B84A12">
              <w:t>godz. / 0,6 ECTS),</w:t>
            </w:r>
          </w:p>
          <w:p w14:paraId="2FE1DDA3" w14:textId="740AA4F6" w:rsidR="00E423D2" w:rsidRPr="00B84A12" w:rsidRDefault="00E423D2" w:rsidP="00760F90">
            <w:pPr>
              <w:jc w:val="both"/>
            </w:pPr>
            <w:r w:rsidRPr="00B84A12">
              <w:t>- zaliczenie prezentacji (3 godz./0,12 ECTS)</w:t>
            </w:r>
          </w:p>
          <w:p w14:paraId="08C8B991" w14:textId="1BF292BA" w:rsidR="00E423D2" w:rsidRPr="00B84A12" w:rsidRDefault="00E423D2" w:rsidP="00760F90">
            <w:pPr>
              <w:jc w:val="both"/>
            </w:pPr>
            <w:r w:rsidRPr="00B84A12">
              <w:lastRenderedPageBreak/>
              <w:t>- zaliczenie sprawozdań (1 godz./0,04 ECTS)</w:t>
            </w:r>
          </w:p>
          <w:p w14:paraId="5EFAE3E7" w14:textId="3249B028" w:rsidR="00E423D2" w:rsidRPr="00B84A12" w:rsidRDefault="00E423D2" w:rsidP="00760F90">
            <w:pPr>
              <w:jc w:val="both"/>
            </w:pPr>
            <w:r w:rsidRPr="00B84A12">
              <w:t>- konsultacje (4 godz. / 0,16 ECTS).</w:t>
            </w:r>
          </w:p>
          <w:p w14:paraId="3B0D3E2F" w14:textId="12290863" w:rsidR="00E423D2" w:rsidRPr="00B84A12" w:rsidRDefault="00E423D2" w:rsidP="00DC37EF">
            <w:pPr>
              <w:rPr>
                <w:color w:val="000000" w:themeColor="text1"/>
              </w:rPr>
            </w:pPr>
            <w:r w:rsidRPr="00B84A12">
              <w:rPr>
                <w:color w:val="000000" w:themeColor="text1"/>
              </w:rPr>
              <w:t>Łącznie – 38 godz./1,52 ECTS</w:t>
            </w:r>
          </w:p>
          <w:p w14:paraId="3265C5FA" w14:textId="77777777" w:rsidR="00E423D2" w:rsidRPr="00B84A12" w:rsidRDefault="00E423D2" w:rsidP="00760F90">
            <w:pPr>
              <w:jc w:val="both"/>
            </w:pPr>
          </w:p>
          <w:p w14:paraId="0568C424" w14:textId="5CC628A4" w:rsidR="00E423D2" w:rsidRPr="00B84A12" w:rsidRDefault="00E423D2" w:rsidP="00760F90">
            <w:pPr>
              <w:jc w:val="both"/>
              <w:rPr>
                <w:b/>
              </w:rPr>
            </w:pPr>
            <w:proofErr w:type="spellStart"/>
            <w:r w:rsidRPr="00B84A12">
              <w:rPr>
                <w:b/>
              </w:rPr>
              <w:t>Niekontaktowe</w:t>
            </w:r>
            <w:proofErr w:type="spellEnd"/>
            <w:r w:rsidRPr="00B84A12">
              <w:rPr>
                <w:b/>
              </w:rPr>
              <w:t>:</w:t>
            </w:r>
          </w:p>
          <w:p w14:paraId="757F86A4" w14:textId="42230AC9" w:rsidR="00E423D2" w:rsidRPr="00B84A12" w:rsidRDefault="00E423D2" w:rsidP="00760F90">
            <w:pPr>
              <w:jc w:val="both"/>
            </w:pPr>
            <w:r w:rsidRPr="00B84A12">
              <w:t xml:space="preserve">- przygotowanie do ćwiczeń – (8 godz./0,32 ECTS) </w:t>
            </w:r>
          </w:p>
          <w:p w14:paraId="1EE76968" w14:textId="57067D0A" w:rsidR="00E423D2" w:rsidRPr="00B84A12" w:rsidRDefault="00E423D2" w:rsidP="00120707">
            <w:pPr>
              <w:jc w:val="both"/>
            </w:pPr>
            <w:r w:rsidRPr="00B84A12">
              <w:t>- przygotowanie prezentacji – (8 godz./0,32 ECTS)</w:t>
            </w:r>
          </w:p>
          <w:p w14:paraId="45AEA904" w14:textId="2BC12044" w:rsidR="00E423D2" w:rsidRPr="00B84A12" w:rsidRDefault="00E423D2" w:rsidP="00760F90">
            <w:pPr>
              <w:jc w:val="both"/>
            </w:pPr>
            <w:r w:rsidRPr="00B84A12">
              <w:t xml:space="preserve">- opracowanie projektu żywności funkcjonalnej (8 godz./0,32 ECTS) </w:t>
            </w:r>
          </w:p>
          <w:p w14:paraId="686D8E06" w14:textId="2D7DA553" w:rsidR="00E423D2" w:rsidRPr="00B84A12" w:rsidRDefault="00E423D2" w:rsidP="00760F90">
            <w:pPr>
              <w:jc w:val="both"/>
            </w:pPr>
            <w:r w:rsidRPr="00B84A12">
              <w:t>- studiowanie literatury – (3 godz. / 0,12 ECTS)</w:t>
            </w:r>
          </w:p>
          <w:p w14:paraId="6BD4116F" w14:textId="47880CC7" w:rsidR="00E423D2" w:rsidRPr="00B84A12" w:rsidRDefault="00E423D2" w:rsidP="00760F90">
            <w:pPr>
              <w:jc w:val="both"/>
            </w:pPr>
            <w:r w:rsidRPr="00B84A12">
              <w:t>- przygotowanie do zaliczenia – (10 godz. /0,4 ECTS</w:t>
            </w:r>
          </w:p>
          <w:p w14:paraId="4E5EBF94" w14:textId="07CC8798" w:rsidR="00E423D2" w:rsidRPr="00B84A12" w:rsidRDefault="00E423D2" w:rsidP="00120707">
            <w:pPr>
              <w:jc w:val="both"/>
            </w:pPr>
            <w:r w:rsidRPr="00B84A12">
              <w:rPr>
                <w:color w:val="000000" w:themeColor="text1"/>
              </w:rPr>
              <w:t>Łącznie – 37</w:t>
            </w:r>
            <w:r w:rsidRPr="00B84A12">
              <w:t xml:space="preserve"> godz./1,48 ECTS</w:t>
            </w:r>
          </w:p>
        </w:tc>
      </w:tr>
      <w:tr w:rsidR="00E423D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83B6DC" w:rsidR="00E423D2" w:rsidRPr="00B84A12" w:rsidRDefault="00E423D2" w:rsidP="00AE37C2">
            <w:r w:rsidRPr="00B84A12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010D0415" w:rsidR="00E423D2" w:rsidRPr="00B84A12" w:rsidRDefault="00E423D2" w:rsidP="004B62AE">
            <w:pPr>
              <w:jc w:val="both"/>
            </w:pPr>
            <w:r w:rsidRPr="00B84A12">
              <w:t>udział w wykładach – 15 godz.; w ćwiczeniach – 15 godz.; konsultacje – 4 godz.; zaliczenie prezentacji – 3 godz. i sprawozdań – 1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E0F3" w14:textId="77777777" w:rsidR="002E46FB" w:rsidRDefault="002E46FB" w:rsidP="008D17BD">
      <w:r>
        <w:separator/>
      </w:r>
    </w:p>
  </w:endnote>
  <w:endnote w:type="continuationSeparator" w:id="0">
    <w:p w14:paraId="3D20BB21" w14:textId="77777777" w:rsidR="002E46FB" w:rsidRDefault="002E46F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84A12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84A12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EA2A" w14:textId="77777777" w:rsidR="002E46FB" w:rsidRDefault="002E46FB" w:rsidP="008D17BD">
      <w:r>
        <w:separator/>
      </w:r>
    </w:p>
  </w:footnote>
  <w:footnote w:type="continuationSeparator" w:id="0">
    <w:p w14:paraId="173D3E49" w14:textId="77777777" w:rsidR="002E46FB" w:rsidRDefault="002E46FB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proofErr w:type="gramStart"/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>nr</w:t>
    </w:r>
    <w:proofErr w:type="gramEnd"/>
    <w:r w:rsidR="00DD52EE" w:rsidRPr="00DD52EE">
      <w:rPr>
        <w:bCs/>
        <w:sz w:val="22"/>
        <w:szCs w:val="22"/>
      </w:rPr>
      <w:t xml:space="preserve">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3833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A99"/>
    <w:rsid w:val="00006104"/>
    <w:rsid w:val="0001080D"/>
    <w:rsid w:val="000125E9"/>
    <w:rsid w:val="00023A99"/>
    <w:rsid w:val="000A06C8"/>
    <w:rsid w:val="000E5708"/>
    <w:rsid w:val="000F587A"/>
    <w:rsid w:val="000F66F7"/>
    <w:rsid w:val="00100B73"/>
    <w:rsid w:val="00101F00"/>
    <w:rsid w:val="00120707"/>
    <w:rsid w:val="001C6F5C"/>
    <w:rsid w:val="00206860"/>
    <w:rsid w:val="00207270"/>
    <w:rsid w:val="002245F4"/>
    <w:rsid w:val="00250733"/>
    <w:rsid w:val="002E46FB"/>
    <w:rsid w:val="002E7263"/>
    <w:rsid w:val="0032739E"/>
    <w:rsid w:val="003853C3"/>
    <w:rsid w:val="003B32BF"/>
    <w:rsid w:val="0044158D"/>
    <w:rsid w:val="00457679"/>
    <w:rsid w:val="004B62AE"/>
    <w:rsid w:val="00500899"/>
    <w:rsid w:val="0055322E"/>
    <w:rsid w:val="0057184E"/>
    <w:rsid w:val="005A4862"/>
    <w:rsid w:val="005B338C"/>
    <w:rsid w:val="006115B1"/>
    <w:rsid w:val="006742BC"/>
    <w:rsid w:val="006E3A2C"/>
    <w:rsid w:val="006F3573"/>
    <w:rsid w:val="00760F90"/>
    <w:rsid w:val="007616C4"/>
    <w:rsid w:val="00776E5F"/>
    <w:rsid w:val="007A3AAE"/>
    <w:rsid w:val="007B02C4"/>
    <w:rsid w:val="0086688B"/>
    <w:rsid w:val="0089357C"/>
    <w:rsid w:val="008D17BD"/>
    <w:rsid w:val="00905B6D"/>
    <w:rsid w:val="0092197E"/>
    <w:rsid w:val="0095581B"/>
    <w:rsid w:val="00980EBB"/>
    <w:rsid w:val="00991350"/>
    <w:rsid w:val="00992D17"/>
    <w:rsid w:val="009C2572"/>
    <w:rsid w:val="009D532F"/>
    <w:rsid w:val="009E49CA"/>
    <w:rsid w:val="00A53FD8"/>
    <w:rsid w:val="00A6673A"/>
    <w:rsid w:val="00A83B87"/>
    <w:rsid w:val="00AA5106"/>
    <w:rsid w:val="00AE37C2"/>
    <w:rsid w:val="00AE721B"/>
    <w:rsid w:val="00B400C0"/>
    <w:rsid w:val="00B84A12"/>
    <w:rsid w:val="00BF1B58"/>
    <w:rsid w:val="00BF24E9"/>
    <w:rsid w:val="00C41D74"/>
    <w:rsid w:val="00C82AC5"/>
    <w:rsid w:val="00CB1F1B"/>
    <w:rsid w:val="00CD423D"/>
    <w:rsid w:val="00CE64E4"/>
    <w:rsid w:val="00D2747A"/>
    <w:rsid w:val="00DC2364"/>
    <w:rsid w:val="00DC28D8"/>
    <w:rsid w:val="00DC37EF"/>
    <w:rsid w:val="00DC5EA9"/>
    <w:rsid w:val="00DD52EE"/>
    <w:rsid w:val="00DF0A56"/>
    <w:rsid w:val="00DF5637"/>
    <w:rsid w:val="00E40755"/>
    <w:rsid w:val="00E423D2"/>
    <w:rsid w:val="00E54369"/>
    <w:rsid w:val="00EC3848"/>
    <w:rsid w:val="00F02DA4"/>
    <w:rsid w:val="00F02E5D"/>
    <w:rsid w:val="00F130E4"/>
    <w:rsid w:val="00F17FA9"/>
    <w:rsid w:val="00F74AC9"/>
    <w:rsid w:val="00F82B32"/>
    <w:rsid w:val="00F82DD2"/>
    <w:rsid w:val="00F843EE"/>
    <w:rsid w:val="00FB1AE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8AF6BDC0-8AB9-4163-AAAB-6CEB595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60F9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0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0F9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jlqj4b">
    <w:name w:val="jlqj4b"/>
    <w:basedOn w:val="Domylnaczcionkaakapitu"/>
    <w:rsid w:val="0012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541E-EB48-4F35-B05B-E9E3320A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Piotr Domaradzki</cp:lastModifiedBy>
  <cp:revision>40</cp:revision>
  <cp:lastPrinted>2023-11-03T07:34:00Z</cp:lastPrinted>
  <dcterms:created xsi:type="dcterms:W3CDTF">2023-11-03T07:29:00Z</dcterms:created>
  <dcterms:modified xsi:type="dcterms:W3CDTF">2024-12-06T17:04:00Z</dcterms:modified>
</cp:coreProperties>
</file>