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81" w:rsidRDefault="00330A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opisu zajęć (sylabus)</w:t>
      </w:r>
    </w:p>
    <w:tbl>
      <w:tblPr>
        <w:tblStyle w:val="a0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1B2C81">
        <w:trPr>
          <w:trHeight w:val="2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843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kierunku studiów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certyfikacja żywności</w:t>
            </w:r>
          </w:p>
        </w:tc>
      </w:tr>
      <w:tr w:rsidR="001B2C81" w:rsidRPr="00330AAE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żywienia zbiorowego</w:t>
            </w:r>
          </w:p>
          <w:p w:rsidR="001B2C81" w:rsidRPr="00330AAE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AE">
              <w:rPr>
                <w:rFonts w:ascii="Times New Roman" w:eastAsia="Times New Roman" w:hAnsi="Times New Roman" w:cs="Times New Roman"/>
                <w:sz w:val="24"/>
                <w:szCs w:val="24"/>
              </w:rPr>
              <w:t>Safety of collective catering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wykładowy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proofErr w:type="gramEnd"/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fakultatywny</w:t>
            </w:r>
            <w:proofErr w:type="gramEnd"/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stacjonarne</w:t>
            </w:r>
            <w:proofErr w:type="gramEnd"/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ECTS z podziałem na kontaktowe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(1,36/0,64)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hab. inż.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UP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Katedra Technologii Żywności Pochodzenia Zwierzęcego;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Zakład Technologii Mięsa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Zarządzania Jakością</w:t>
            </w:r>
            <w:proofErr w:type="gramEnd"/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 modu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łu</w:t>
            </w:r>
          </w:p>
          <w:p w:rsidR="001B2C81" w:rsidRDefault="001B2C81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Opanowanie przez studentów wiedzy i umiejętności w zakresie zapewniania bezpieczeństwa w żywieniu zbiorowym</w:t>
            </w:r>
          </w:p>
        </w:tc>
      </w:tr>
      <w:tr w:rsidR="001B2C81">
        <w:trPr>
          <w:trHeight w:val="236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Wiedza: </w:t>
            </w:r>
          </w:p>
        </w:tc>
      </w:tr>
      <w:tr w:rsidR="001B2C81">
        <w:trPr>
          <w:trHeight w:val="587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1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obowiązujące przepisy prawa żywnościowego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pojęcia z zakresu systemów zapewnienia i zarządzania bezpieczeństwem i jakością żywności, główne założenia systemów obligatoryjnych i dobrowolnych stosowanych w branży żywnościowej</w:t>
            </w:r>
          </w:p>
        </w:tc>
      </w:tr>
      <w:tr w:rsidR="001B2C81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1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Umiejętności:</w:t>
            </w:r>
          </w:p>
        </w:tc>
      </w:tr>
      <w:tr w:rsidR="001B2C81">
        <w:trPr>
          <w:trHeight w:val="6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1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C81" w:rsidRDefault="0033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przykładową dokumentację systemową i operacyjną dla gastronomii </w:t>
            </w:r>
          </w:p>
          <w:p w:rsidR="001B2C81" w:rsidRDefault="0033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potrafi dobrać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ocenić jakość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surowców i produktów spożywczych, stosując odpowiednie metody towaroznawcze</w:t>
            </w:r>
          </w:p>
          <w:p w:rsidR="001B2C81" w:rsidRDefault="0033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kryteria procesu gastronomicznej produk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cji żywności spełniającego wymogi jej bezpieczeństwa</w:t>
            </w:r>
          </w:p>
        </w:tc>
      </w:tr>
      <w:tr w:rsidR="001B2C81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1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Kompetencje społeczne:</w:t>
            </w:r>
          </w:p>
        </w:tc>
      </w:tr>
      <w:tr w:rsidR="001B2C81">
        <w:trPr>
          <w:trHeight w:val="558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1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absolwent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gotów do stałego uzupełniania wiedzy i samodoskonalenia w zakresie standardów jakościowych i przepisów prawa żywnościowego.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absolwent jest gotów do podjęcia odpowiedzialności za produkcję bezpiecznej żywności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wysokiej jakości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wstępne i dodatkowe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żywności, mikrobiologia żywności, kodeks dobrych praktyk, towaroznawstwo produktów roślinnych i zwierzęcych, przechowywanie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dystrybucja żywności 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Treści programowe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studentów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zasadmi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funkcjonowania zakładów żywienia zbiorowego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wytycznymi dobrej praktyki cateringowej zgodne ze specyfikacją techniczną ISO/TS 22002-2 i powiązanymi z jej założeniami aktualnie obowiązującymi aktami prawnymi. Praktyczne wykorzystanie zdobytej wiedzy w opracowaniu elementów dokumentacji HACCP dla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wybranych potraw.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Dominik P.. Gastronomia,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  <w:p w:rsidR="001B2C81" w:rsidRDefault="00330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Czarniecka-Skubina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Technologia gastronomiczna, Wyd. SGGW, 2016</w:t>
            </w:r>
          </w:p>
          <w:p w:rsidR="001B2C81" w:rsidRDefault="00330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Czasopisma naukowe i branżowe</w:t>
            </w:r>
          </w:p>
          <w:p w:rsidR="001B2C81" w:rsidRDefault="00330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Aktualne akty prawne oraz wytyczne Komisji Kodeksu Żywnościowego i specyfikacje techniczne</w:t>
            </w:r>
          </w:p>
        </w:tc>
      </w:tr>
      <w:tr w:rsidR="001B2C81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Planowane formy / działania / metody dydaktyczne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Wykład, zespołowo wykonywane opracowania pisemne / prezentacje multimedialne / projekty, dyskusja</w:t>
            </w:r>
          </w:p>
        </w:tc>
      </w:tr>
      <w:tr w:rsidR="001B2C81">
        <w:trPr>
          <w:trHeight w:val="8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Sposoby weryfika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cji oraz formy dokumentowania osiągniętych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W1. W2. U1. U2. U3. K1. K2. - ocena opracowania pisemnego / prezentacji i wystąpienia / zadania projektowego / zaliczenia pisemnego</w:t>
            </w:r>
          </w:p>
          <w:p w:rsidR="001B2C81" w:rsidRDefault="001B2C81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Formy dokumentowania osiągniętych wyników: dziennik prowadzącego,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sprawozdania,  prezentacje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projekt, zaliczenie pisemne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kryteria przy ocenie zaliczenia i prac kontrolnych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dostateczny (3,0) stopień wiedzy, umiejętności lub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ompetencji, gdy uzyskuje od 51 do 60% sumy punktów określających maksymalny poziom wiedzy lub umiejętności z danego przedmiotu (odpowiednio, przy zaliczeniu cząstkowym – jego części), 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plus (3,5) stopień wiedzy, umiejętności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 kompetencji, gdy uzyskuje od 61 do 70% sumy punktów określających maksymalny poziom wiedzy lub umiejętności z danego przedmiotu (odpowiednio – jego części), 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plus dobry stopie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(4,5) wiedzy, umiejętności lub kompetencji, gdy uzyskuje od 81 do 90% sumy punktów określających maksymalny poziom wiedzy lub umiejętności z danego przedmiotu (odpowiednio – jego części),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bardzo dobry stopień (5,0) wiedzy, umiejętności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kompetencji, gdy uzyskuje powyżej 91% sumy punktów określających maksymalny poziom wiedzy lub umiejętności z danego przedmiotu (odpowiednio – jego części).</w:t>
            </w:r>
          </w:p>
        </w:tc>
      </w:tr>
      <w:tr w:rsidR="001B2C81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Elementy i wagi mające wpływ na ocenę końcową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końcowa = 70% ocena z zaliczenia pisemnego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+ 30% średnia arytmetyczna z ocen aktywności (pracy grupowej i indywidualnej na ćwiczeniach). </w:t>
            </w:r>
          </w:p>
          <w:p w:rsidR="001B2C81" w:rsidRDefault="001B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Warunki te są przedstawiane na pierwszych zajęciach z modułu.</w:t>
            </w:r>
          </w:p>
        </w:tc>
      </w:tr>
      <w:tr w:rsidR="001B2C81">
        <w:trPr>
          <w:trHeight w:val="43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Godziny kontaktowe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(15 godz. / 0,6 ECTS)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ćwiczeniach audytoryjnych i laboratoryjnych (15 godz. / 0,6 ECTS)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godz. / 0,12 ECTS)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(1 godz. / 0,04 ECTS)</w:t>
            </w: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- 34  godziny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kontaktowe / 1,36 ECTS</w:t>
            </w:r>
          </w:p>
          <w:p w:rsidR="001B2C81" w:rsidRDefault="001B2C81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2C81" w:rsidRDefault="00330AAE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Godziny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opracowań pisemnych (4 godz. / 0,16 ECTS) 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prezentacji (3 godz. / 0,12 ECTS)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projektu (4 godz. / 0,16 ECTS)</w:t>
            </w:r>
          </w:p>
          <w:p w:rsidR="001B2C81" w:rsidRDefault="00330A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zaliczenia końcowego (5 godz. / 0,2 ECTS)</w:t>
            </w:r>
          </w:p>
          <w:p w:rsidR="001B2C81" w:rsidRDefault="00330AAE">
            <w:pPr>
              <w:spacing w:after="0" w:line="240" w:lineRule="auto"/>
              <w:ind w:left="316" w:hanging="31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- 16  godzin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niekontaktowych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0,64 ECTS</w:t>
            </w:r>
          </w:p>
        </w:tc>
      </w:tr>
      <w:tr w:rsidR="001B2C81">
        <w:trPr>
          <w:trHeight w:val="1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- 15 godz.</w:t>
            </w:r>
          </w:p>
          <w:p w:rsidR="001B2C81" w:rsidRDefault="00330A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zajęciach ćwiczeniach i laboratoryjnych - 15 godz.</w:t>
            </w:r>
          </w:p>
          <w:p w:rsidR="001B2C81" w:rsidRDefault="00330A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 godz.</w:t>
            </w:r>
          </w:p>
          <w:p w:rsidR="001B2C81" w:rsidRDefault="00330A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- 1 godz.</w:t>
            </w:r>
          </w:p>
        </w:tc>
      </w:tr>
      <w:tr w:rsidR="001B2C81" w:rsidTr="00330AAE">
        <w:trPr>
          <w:trHeight w:val="12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W1 – BC1_W04, 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BC1_W14,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 – BC1_U05, 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U2 – BC1_U09, 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BC1_U14,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BC1_K01,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K2 – BC1_K05.</w:t>
            </w:r>
          </w:p>
          <w:p w:rsidR="001B2C81" w:rsidRDefault="001B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 – InzBC_W01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InzBC_W01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– InzBC_U03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– InzBC_U03</w:t>
            </w:r>
          </w:p>
          <w:p w:rsidR="001B2C81" w:rsidRDefault="0033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I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nzBC_U03</w:t>
            </w:r>
          </w:p>
        </w:tc>
      </w:tr>
    </w:tbl>
    <w:p w:rsidR="001B2C81" w:rsidRDefault="001B2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2C81"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6D9"/>
    <w:multiLevelType w:val="multilevel"/>
    <w:tmpl w:val="E29C19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C07E3F"/>
    <w:multiLevelType w:val="multilevel"/>
    <w:tmpl w:val="F4AACE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4E0AF6"/>
    <w:multiLevelType w:val="multilevel"/>
    <w:tmpl w:val="6BBA5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B2C81"/>
    <w:rsid w:val="001B2C81"/>
    <w:rsid w:val="003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ERBiSRcdbyZmMCaZkvSK039aQ==">CgMxLjAyCGguZ2pkZ3hzOAByITFLZHF4RVBHVEJRb2pRODVSY3RlNUxpNEF4MWpKSUlNQQ==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4906</Characters>
  <Application>Microsoft Office Word</Application>
  <DocSecurity>0</DocSecurity>
  <Lines>40</Lines>
  <Paragraphs>11</Paragraphs>
  <ScaleCrop>false</ScaleCrop>
  <Company>Microsoft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ztmzj</dc:creator>
  <cp:lastModifiedBy>rev</cp:lastModifiedBy>
  <cp:revision>2</cp:revision>
  <dcterms:created xsi:type="dcterms:W3CDTF">2020-01-21T11:57:00Z</dcterms:created>
  <dcterms:modified xsi:type="dcterms:W3CDTF">2024-12-06T09:04:00Z</dcterms:modified>
</cp:coreProperties>
</file>