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Transport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Transport of food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(1,4/0,6)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Piotr Skałecki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Uzyskanie przez studentów  informacji związanych z transportem żywności w oparciu o aktualne prawodawstwo europejskie.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W1. Zna podstawowe wymagania dotyczące transportu żywności.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W2.  Ma wiedzę na temat organizacji transportu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Potrafi dokonać analizy wad i zalet transportu w zależności od jego rodzaju.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roli i wpływu transportu na jakość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BC1_W04, 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BC1_W06, 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BC1_U06, 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 InzBC_W01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 InzBC_W02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 InzBC_U03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Towaroznawstwo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Organizacja transportu żywności w Polsce i na świecie. Podział i techniki transportu. Istota transportu w organizacji rynku żywnościowego. Transport i magazynowanie żywności. Transport chłodniczy. Konteneryzacja. Specyfika obrotu produktami pochodzenia zwierzęcego. Żywność jako szczególny przedmiot obrotu towarowego Procedury związane z transportem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Lisińska-Kuśnierz M., Ucherek M., Znakowanie i kodowanie towarów, Wydawnictwo Akademii Ekonomicznej w Krakowie, Kraków, 2005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Marciniak-Neider D., Neider J.: Podręcznik Spedytora T1, T2, Polish International Freight Forwarders Association,  Gdynia 2011.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Karpiel Ł., Skrzypek M.: Towaroznawstwo ogólne. Wydawnictwo Akademii Ekonomicznej w Krakowie, 2000.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1) prezentacja (projekt),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2) ćwiczenia audytoryjne,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3) wykład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praca pisemna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W2- praca pisemna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karty pracy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dyskusja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wyników; 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Lista obecności, prace pisemne, karty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– średnia ocen z pracy pisemnej (równoważnik ważkości 0,6), kart pracy (równoważnik ważkości 0,4) 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– ocena z zaliczenia pisemnego 50% + 50% ocena z ćwiczeń.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udział w wykładach i zaliczenie końcowe– 15 godz.,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udział w zajęciach audytoryjnych i laboratoryjnych – 15 godz.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 5 godz.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kontaktowych 35/  1,4 pkt ECTS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zaliczeń 10 godz.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sprawozdań 5 godz. 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niekontaktowych 15/ 0,6 pkt ECTS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2 pkt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15 godz; 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 – 15 godz.; 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konsultacjach – 5 godz.;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7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8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2A74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THTWeykaMKvbZygavkLUx4hwg==">CgMxLjAyCGguZ2pkZ3hzOAByITFvSll2Rm9wT0ZXUFROd1B4cWREUmxEZ1gzSDMzOTNSbA==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