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Zoologia i ekologia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Zoology and ecology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4 (2/2)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Radosław Ścibior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Zoologii i Ekologii Zwierząt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Podstawowym celem realizowanym na wykładach i ćwiczeniach jest zapoznanie studentów z przedstawicielami królestwa Animalia w ujęciu systematycznym i filogenetycznym. Dzięki poznaniu  ekologii i biologii poszczególnych grup taksonomicznych, studenci zdobywają między innymi wiedzę o organizmach wpływających na czystość biologiczną produktów spożywczych.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1. Ma wiedzę z zakresu systematyki, morfologii, anatomii, biologii i ekologii głównych grup taksonomicznych z królestwa Animalia, także w ujęciu bezpieczeństwa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1. Zna i umie rozpoznać główne szkodniki z poszczególnych grup systematycznych, uszkadzające lub zanieczyszczające różnorodne produkty żywnościowe oraz pasożyty zwierząt hodowlanych przeznaczonych do uboju konsumpcyjnego.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2. Potrafi identyfikować zagrożenia w produkcji żywności w oparciu o obecność pasożytów lub szkodników, wskazać działania zaradcze i podjąć odpowiednie środki naprawcze.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1. Ma świadomość czystości biologicznej różnorodnych produktów konsumpcyjnych dla zdrowia ludzkiego.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Brak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Przedmiot obejmuje przegląd systematyczny organizmów należących do królestwa Animalia. Omawiane są zagadnienia dotyczące morfologii, anatomii, biologii i ekologii wybranych organizmów, w ujęciu systematycznym i filogenetycznym. Przedstawiane są również wybrane zagadnienia z ekologii: populacje – ich funkcjonowanie i znaczenie w ekosystemach, podstawowe czynniki środowiskowe oddziaływujące na zoocenozy oraz wielopoziomowe interakcje międzygatunkowe (ze szczególnym uwzględnieniem szkodników, pasożytów i zwierząt pożytecznych).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1. Błaszak C.: Zoologia. Bezkręgowce. Tom I i II. PWN, Warszawa, 2012.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2. Błaszak C.: Zoologia. Stawonogi. Tom I i II. PWN, Warszawa, 2013.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3. Hempel-Zawitkowska J., (red.). Zoologia dla uczelni rolniczych. PWN, Warszawa, 2011. 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4. Krebs Ch. J. Ekologia. Wydawnictwo PWN, 1996.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5. Zamachowski W., Zyśk A., Strunowce Chordata. Wydawnictwo Naukowe AP, Kraków, 2002.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Wykłady, ćwiczenia audytoryjne  – prowadzone w formie prezentacji multimedialnych, przygotowanych w programie PowerPoint, z wykorzystaniem komputera i rzutnika multimedialnego; przewidziane są krótkie dyskusje, prezentacje i sprawozdania na temat realizowanych na ćwiczeniach zagadnień. 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Ćwiczenia laboratoryjne – wykorzystywane są tu preparaty stałe mikroskopowe i makroskopowe, preparaty mokre, wypreparowane okazy zwierząt, gabloty poglądowe. Demonstrowane są również krótkie filmy oraz głosy zwierząt.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W1, U1, U2, K1 – ocena ze sprawdzianów, ocena z zaliczenia końcowego.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FORMY DOKUMENTOWANIA OSIĄGNIĘTYCH EFEKTÓW UCZENIA SIĘ: </w:t>
            </w:r>
            <w:r w:rsidDel="00000000" w:rsidR="00000000" w:rsidRPr="00000000">
              <w:rPr>
                <w:rtl w:val="0"/>
              </w:rPr>
              <w:t xml:space="preserve">prace końcowe: zaliczenia cząstkowe (w formie testu wyboru), zaliczenie końcowe (test wyboru), projekt klucza do oznaczania, krótka prezentacja w grupach, sprawozdania z oznaczania (bez oddzielnych ocen), archiwizowanie w formie papierowej; dziennik prowadzącego.</w:t>
            </w:r>
          </w:p>
          <w:p w:rsidR="00000000" w:rsidDel="00000000" w:rsidP="00000000" w:rsidRDefault="00000000" w:rsidRPr="00000000" w14:paraId="0000004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Szczegółowe kryteria przy ocenie zaliczenia i prac kontrolnych: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Na ocenę końcową przedmiotu (100%) składa się  średnia z dwóch zaliczeń cząstkowych, obejmujących materiał z ćwiczeń audytoryjnych (25%) i laboratoryjnych (25%) oraz ocena zaliczenia zagadnień wykładowych (50%).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Formy zajęć: </w:t>
            </w:r>
          </w:p>
          <w:p w:rsidR="00000000" w:rsidDel="00000000" w:rsidP="00000000" w:rsidRDefault="00000000" w:rsidRPr="00000000" w14:paraId="00000055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wykład (10 godz./0,4 ECTS),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ćwiczenia (25 godz./1,0 ECTS),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zaliczenie projektu (4 godz./0,16 ECTS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zaliczenie sprawozdania (4 godz./0,16 ECTS)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zaliczenie prezentacji (4 godz./0,16 ECTS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konsultacje 3 godz./0,12 ECTS),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Łącznie – 50 godz./2 ECTS</w:t>
            </w:r>
          </w:p>
          <w:p w:rsidR="00000000" w:rsidDel="00000000" w:rsidP="00000000" w:rsidRDefault="00000000" w:rsidRPr="00000000" w14:paraId="0000005D">
            <w:pPr>
              <w:ind w:left="487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przygotowanie do zajęć, opracowanie projektu, sprawozdania i prezentacji (25 godz./1 ECTS),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przygotowanie do zaliczeń cząstkowych i końcowego (20 godz./0,8 ECTS),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studiowanie literatury (5 godz./0,2 ECTS),</w:t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Łącznie 50 godz./2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udział w wykładach – 10 godz.; w ćwiczeniach – 25, zaliczeniach projektu, sprawozdania i prezentacji – 12 godz.; w konsultacjach – 3 godz.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BC1_W01</w:t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BC1_U08</w:t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BC1_U10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K1 – BC_K05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jc w:val="right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hps" w:customStyle="1">
    <w:name w:val="hps"/>
    <w:uiPriority w:val="99"/>
    <w:rsid w:val="009C57B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w/5gxCKR7kSv9oWuKW7MsgioNQ==">CgMxLjA4AHIhMV9ZM3JwUDB5Nk1SS0tob21LQmE3cUE5N0NJbkhTVUx5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2024-11-18T09:30:00Z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