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Higiena i bezpieczeństwo żywności pochodzenia zwierzęcego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Food of animal origin - hygiene and safety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(2,6/1,4)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Waldemar Paszkiewicz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Higieny Żywności Zwierzęcego Pochodzenia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Opanowanie przez studentów wiedzy i umiejętności w zakresie higieny żywności zwierzęcego pochodzenia, ze szczególnym uwzględnieniem prawidłowej jakości zdrowotnej tej żywności.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Posiada wiadomości z zakresu jakości zdrowotnej żywności i jej kryteriów.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Zna zagrożenia związane z surowcami </w:t>
              <w:br w:type="textWrapping"/>
              <w:t xml:space="preserve">i produktami  zwierzęcego pochodzenia oraz sposoby ich eliminacji, a także rozumie zasady funkcjonowania systemów zapewnienia bezpieczeństwa oraz jakości na wszystkich etapach produkcji i dystrybucji żywności zwierzęcego pochodzenia.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 Zna zasady analizy sensorycznej i oznaczania wartości odżywczej oraz posiada niezbędne wiadomości nt. warunków higienicznych pozyskiwania i przetwarzania żywności pochodzenia zwierzęcego.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Potrafi przeprowadzić analizę sensoryczną środka spożywczego i wybrane oznaczenia w zakresie wartości odżywczej żywności zwierzęcego pochodzenia.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Potrafi  opisać wyniki uzyskanych badań oraz wyciągnąć z nich prawidłowe wnioski.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Umie ocenić wpływ nieprawidłowości w zakresie higieny pozyskiwania i przetwarzania surowców na jakość zdrowotną żywności zwierzęcego pochodzenia.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Rozumie potrzebę ciągłego kształcenia się w związku z rozwojem nauk i postępem technologicznym.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 Jest świadomy odpowiedzialności za bezpieczeństwo żywności i potrafi formułować opinię w związku z wykonywanym zawodem.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mikrobiologia żywności, toksykologia żywności, prawo żywnościowe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Istotą modułu kształcenia „Higiena i bezpieczeństwo żywności pochodzenia zwierzęcego” jest zapoznanie studentów z: a) uwarunkowaniami i wymaganiami niezbędnymi dla zapewnienia bezpieczeństwa oraz odpowiednich właściwości żywności zwierzęcego pochodzenia na wszystkich etapach łańcucha żywnościowego (od pola do stołu) oraz </w:t>
              <w:br w:type="textWrapping"/>
              <w:t xml:space="preserve">b) zagrożeniami dla zdrowia i życia człowieka związanymi z pozyskiwaniem surowców oraz przetwórstwem, przechowywaniem i dystrybucją żywności zwierzęcego pochodzenia.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</w:t>
              <w:br w:type="textWrapping"/>
              <w:t xml:space="preserve">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1. Kołożyn-Krajewska D. (red). - Higiena produkcji żywności. Wyd. SGGW, Warszawa 2003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2. Prost E.K. - Zwierzęta rzeźne i mięso – ocena i higiena LTN, Lublin 2006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3. Żakowska Z., Stoińska H. (red). - Mikrobiologia i higiena w przemyśle spożywczym Wyd. P.Ł. Łódź 2000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4. Ziajka S. (red).: Mleczarstwo, zagadnienia wybrane. T. I i II, wyd. ART Olsztyn 1997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5. Rajchert D. Nowak D. (red). - Jakość i bezpieczeństwo żywności. Wyd. SGGW, Warszawa 2006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wykłady, ćwiczenia audytoryjne i laboratoryjne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W1-W3 i U1-U3 i K1-K2 - </w:t>
            </w:r>
            <w:r w:rsidDel="00000000" w:rsidR="00000000" w:rsidRPr="00000000">
              <w:rPr>
                <w:rtl w:val="0"/>
              </w:rPr>
              <w:t xml:space="preserve">2 pisemne zaliczenia cząstkowe i pisemny egzamin końcowy; minimum niezbędne do zdania egzaminu oraz  zaliczeń cząstkowych określono na poziomie 60% sumy punktów określających maksymalny poziom wiedzy lub umiejętności z danego przedmiotu, </w:t>
              <w:br w:type="textWrapping"/>
              <w:t xml:space="preserve">a przy zaliczeniu cząstkowym – jego części.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zaliczeń </w:t>
              <w:br w:type="textWrapping"/>
              <w:t xml:space="preserve">i egzaminu: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502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dostateczny (3,0) stopień wiedzy lub umiejętności, gdy uzyskuje od 60 do 68%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502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dostateczny plus (3,5) stopień wiedzy lub umiejętności, gdy uzyskuje od 69 do 76%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502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dobry stopień (4,0) wiedzy lub umiejętności, gdy uzyskuje od 77 do 84%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502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plus dobry stopień (4,5) wiedzy lub umiejętności, gdy uzyskuje od 85 do 92%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502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bardzo dobry stopień (5,0) wiedzy lub umiejętności, gdy uzyskuje powyżej 92% sumy punktów określających maksymalny poziom wiedzy lub umiejętności z danego przedmiotu (odpowiednio – jego części).</w:t>
            </w:r>
          </w:p>
          <w:p w:rsidR="00000000" w:rsidDel="00000000" w:rsidP="00000000" w:rsidRDefault="00000000" w:rsidRPr="00000000" w14:paraId="0000004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W trakcie realizacji przedmiotu przewidziane są dwa cząstkowe zaliczenia pisemne: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 warunkiem przystąpienia do zaliczenia cząstkowego jest odrobienie ew. nieobecności na poprzedzających zaliczenie ćwiczeniach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przewidziane są dwa terminy poprawkowe zaliczenia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w arkuszu zaliczeniowym znajdują się zarówno pytania w formule otwartej, jak i testowej (wyboru jednej prawidłowej odpowiedzi)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do oceny zaliczeń stosowane są ww. kryteria oceny.</w:t>
            </w:r>
          </w:p>
          <w:p w:rsidR="00000000" w:rsidDel="00000000" w:rsidP="00000000" w:rsidRDefault="00000000" w:rsidRPr="00000000" w14:paraId="0000005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Przedmiot kończy się egzaminem testowym w formule wyboru jednej prawidłowej odpowiedzi: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warunkiem przystąpienia do egzaminu jest uzyskanie pozytywnej oceny z obu zaliczeń cząstkowych oraz odrobienie ew. nieobecności na ćwiczeniach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do oceny egzaminu stosowane są ww. kryteria oceny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 dwa egzaminy poprawkowe  maja również formułę testu wyboru jednej prawidłowej odpowiedzi.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Regulamin zaliczenia przedmiotu przedstawiany jest studentom w trakcie  pierwszych ćwiczeń.</w:t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dokumentowania osiągniętych wyników: dziennik prowadzącego, arkusze zaliczeniowe i egzaminacyjne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zaliczenie nr 1 – 5%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zaliczenie nr 2 – 5%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egzamin          – 90%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Razem             - 100%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wykłady: 15x2 h = 30 h/1,2 ECTS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ćwiczenia: 15x2 h = 30 h/1,2 ECTS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zaliczenia: 2x0,5 h = 1 h/0,04 ECTS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egzamin/egzamin poprawkowy: 1h/2h =3 h/0,12 ECTS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konsultacje: 1h/0,04 ECTS</w:t>
            </w:r>
          </w:p>
          <w:p w:rsidR="00000000" w:rsidDel="00000000" w:rsidP="00000000" w:rsidRDefault="00000000" w:rsidRPr="00000000" w14:paraId="0000006B">
            <w:pPr>
              <w:ind w:left="36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Razem kontaktowe: 65 h/2,6 ECTS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ćwiczeń: 15 h/0,6 ECTS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egzaminu: 15 h/0,6 ECTS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literatury: 5 h/0,2 ECTS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niekontaktowe: 35 h/1,4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wykładach:</w:t>
              <w:tab/>
              <w:t xml:space="preserve">15 x 2 = 30 h/1,2 ECTS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udział w ćwiczeniach:15 x 2 = 30 h/1,2 ECTS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konsultacje:       </w:t>
              <w:tab/>
              <w:t xml:space="preserve">1h/0,04 ECTS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kolokwium z ćwiczeń: 2 x 0,5 = 1 h/0,04 ECTS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Egzamin/egzamin poprawkowy: 1 h/2 h = 3 h/0,12 ECTS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RAZEM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  <w:tab/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65 h/2,6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W1 </w:t>
            </w:r>
            <w:r w:rsidDel="00000000" w:rsidR="00000000" w:rsidRPr="00000000">
              <w:rPr>
                <w:rtl w:val="0"/>
              </w:rPr>
              <w:t xml:space="preserve">– BC1_W01 i W10</w:t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W2</w:t>
            </w:r>
            <w:r w:rsidDel="00000000" w:rsidR="00000000" w:rsidRPr="00000000">
              <w:rPr>
                <w:rtl w:val="0"/>
              </w:rPr>
              <w:t xml:space="preserve"> – BC1_W06 i W14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W3</w:t>
            </w:r>
            <w:r w:rsidDel="00000000" w:rsidR="00000000" w:rsidRPr="00000000">
              <w:rPr>
                <w:rtl w:val="0"/>
              </w:rPr>
              <w:t xml:space="preserve"> – BC1_ W13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U1 i U2</w:t>
            </w:r>
            <w:r w:rsidDel="00000000" w:rsidR="00000000" w:rsidRPr="00000000">
              <w:rPr>
                <w:rtl w:val="0"/>
              </w:rPr>
              <w:t xml:space="preserve"> – BC1_U04 i U09</w:t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U3</w:t>
            </w:r>
            <w:r w:rsidDel="00000000" w:rsidR="00000000" w:rsidRPr="00000000">
              <w:rPr>
                <w:rtl w:val="0"/>
              </w:rPr>
              <w:t xml:space="preserve"> – BC1_U10 i U13</w:t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K1</w:t>
            </w:r>
            <w:r w:rsidDel="00000000" w:rsidR="00000000" w:rsidRPr="00000000">
              <w:rPr>
                <w:rtl w:val="0"/>
              </w:rPr>
              <w:t xml:space="preserve"> – BC1_K01</w:t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K2</w:t>
            </w:r>
            <w:r w:rsidDel="00000000" w:rsidR="00000000" w:rsidRPr="00000000">
              <w:rPr>
                <w:rtl w:val="0"/>
              </w:rPr>
              <w:t xml:space="preserve"> – BC1_K02 i K05</w:t>
            </w:r>
          </w:p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W2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rtl w:val="0"/>
              </w:rPr>
              <w:t xml:space="preserve">W3</w:t>
            </w:r>
            <w:r w:rsidDel="00000000" w:rsidR="00000000" w:rsidRPr="00000000">
              <w:rPr>
                <w:rtl w:val="0"/>
              </w:rPr>
              <w:t xml:space="preserve"> – InzBC_W01 i W02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U3</w:t>
            </w:r>
            <w:r w:rsidDel="00000000" w:rsidR="00000000" w:rsidRPr="00000000">
              <w:rPr>
                <w:rtl w:val="0"/>
              </w:rPr>
              <w:t xml:space="preserve"> – InzBC_U04</w:t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MxI95zgrmdmDIh8X5hn3/T1eQ==">CgMxLjAyCGguZ2pkZ3hzOAByITFNNFlLLU1oLXJSVUk3T0lockthendIUmRaQXVuLXZnRQ==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2024-11-25T19:23:00Z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