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żywienia człowieka</w:t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Bases of human nutrition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(3,08/2,92)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hab. Wioletta Samolińska, profesor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Instytut Żywienia Zwierząt i Bromatologii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modułu jest zapoznanie studentów z rolą składników żywności w odżywianiu człowieka, wartością odżywczą produktów i potraw, aktualnymi normami i zaleceniami żywieniowymi oraz znaczeniem żywienia w profilaktyce zdrowotnej ludności. Wyrobienie umiejętności podejmowania decyzji odnośnie prawidłowego żywienia i krytycznej oceny sposobów żywienia ludzi.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Ma wiedzę z zakresu przemian składników odżywczych oraz ich wpływu na organizm człowieka.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Zna wartość odżywczą produktów i potraw oraz aktualne wytyczne związane z racjonalnym żywieniem oraz dietoterapią wybranych jednostek chorobowych.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Zna zasady prawidłowego żywienia różnych grup ludności oraz zagrożenia wynikające z nieprawidłowego odżywiania się.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obliczyć zapotrzebowanie energetyczne organizmu oraz zaplanować żywienie dla poszczególnych grup ludności i w wybranych jednostkach chorobowych.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Potrafi przeprowadzić ocenę spożycia żywności w odniesieniu do aktualnych norm i zaleceń oraz dokonać porad w zakresie racjonalnego żywienia.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Wykorzystuje wiedzę w procesie samokształcenia w zakresie zdrowego i racjonalnego żywienia.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Podejmuje samodzielne działania w zakresie opracowywania danych i interpretacji wyników.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Zaliczenie z przedmiotów: chemia żywności, fizjologia zwierząt i człowieka, biochemia ogólna i żywności, metody oceny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Składniki pokarmowe, odżywcze i nieodżywcze. Trawienie białek, tłuszczy i węglowodanów, wchłanianie i metabolizm tych składników. Witaminy i składniki mineralne w żywieniu: podział, funkcje, skutki niedoborów i nadmiaru, występowanie w żywności. Błonnik pokarmowy. Przemiana materii i energii u człowieka, bilans energetyczny organizmu. Zapotrzebowanie na składniki odżywcze, a normy i wytyczne żywienia. Zasady żywienia różnych grup ludności i w wybranych jednostkach chorobowych. Sposób żywienia człowieka w ujęciu historycznym. Wzbogacanie żywności i suplementacja diety składnikami odżywczymi, jako strategie racjonalizacji żywienia.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Gawęcki J. (red.) 2022. Żywienie człowieka. Podstawy nauki o żywieniu (tom 1). wyd. PWN, Warszawa.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Jarosz, M., Rychlik, E., Stoś, K., Charzewska, J. 2020. Normy żywienia dla populacji Polski i ich zastosowanie. Narodowy Instytut Zdrowia Publicznego-Państwowy Zakład Higieny, Warszawa </w:t>
            </w:r>
            <w:hyperlink r:id="rId7">
              <w:r w:rsidDel="00000000" w:rsidR="00000000" w:rsidRPr="00000000">
                <w:rPr>
                  <w:color w:val="0563c1"/>
                  <w:sz w:val="22"/>
                  <w:szCs w:val="22"/>
                  <w:u w:val="single"/>
                  <w:rtl w:val="0"/>
                </w:rPr>
                <w:t xml:space="preserve">https://ncez.pzh.gov.pl/wp-content/uploads/2021/03/normy_zywienia_2020web.pdf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Kunachowicz H., Nadolna I., Iwanow K., Przygoda B. 2016. Wartość odżywcza wybranych produktów spożywczych i typowych potraw, wyd. Lek. PZWL, Warszawa.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Grzymisławski M., Moszak M (red.). 2022. Żywienie człowieka zdrowego i chorego (tom 2). wyd. PWN Warszawa.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Gawęcki J., Roszkowski W. (red.). 2009. Żywienie człowieka a zdrowie publiczne (tom 3), wyd. PWN Warszawa.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Ciborowska H., Ciborowski A. 2022. Dietetyka: żywienie zdrowego i chorego człowieka wyd. Lek. PZWL, Warszawa.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Inne materiały edukacyjne udostępniane studentom podczas ćwiczeń.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dydaktyczne: wykład, ćwiczenia audytoryjne (prelekcja, pokaz multimedialny), ćwiczenia laboratoryjne w pracowni informatycznej (ćwiczenia rachunkowe, korzystanie z programów dietetycznych, opracowanie wyników oceny żywienia za pomocą pakietu Office, wykonanie projektu oceny diety zwyczajowej).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Uwzględniając nauczanie i uczenie się z wykorzystaniem metod i technik kształcenia na odległość i wynikające stąd uwarunkowania.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W1 W2 W3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– pisemny egzamin,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U1 U2 K1 K2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- zadania wykonane indywidualnie, zaplanowanie jadłospisów, ocena projektu wykonanego indywidualnie (projektu oceny żywienia)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Zadania, projekty - archiwizowanie w formie papierowej lub cyfrowej.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Dziennik prowadzącego – archiwizowany w formie papierowej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Egzamin pisemny – archiwizowany w formie papierowej.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egzaminu pisemnego 50% + 50% ocena z ćwiczeń.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ocena zadań praktycznych i aktywność 30% + ocena projektu 70%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Warunki te są przedstawiane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6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(25 godz./1 ECTS),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(45 godz./1,8 ECTS),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(2 godz./0,1 ECTS),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(5 godz./0,2 ECTS),</w:t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77 godz./3,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08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ECTS</w:t>
            </w:r>
          </w:p>
          <w:p w:rsidR="00000000" w:rsidDel="00000000" w:rsidP="00000000" w:rsidRDefault="00000000" w:rsidRPr="00000000" w14:paraId="00000069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(10 godz./0,4 ECTS),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(13 godz./0,5 ECTS),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projektu (25 godz./1 ECTS),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(25 godz./ 1 ECTS)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73 godz./2,9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25 godz.; w ćwiczeniach – 45 godz.; konsultacjach – 5 godz.; w egzaminie 2 godz.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77 godz.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BC1 _W07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W2 - BC1 _W07, BC1 _W10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W3 - BC1_W01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BC1_U04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U2 – BC1 _U04, BC1 _U06, BC1 _U07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 _K01, BC1 _K05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K2 - BC1 _K03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W2 W3 – InzBC_W05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7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InzBC_U02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 – InzBC_U01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E2D6C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E2D6C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E2D6C"/>
    <w:rPr>
      <w:vertAlign w:val="superscript"/>
    </w:rPr>
  </w:style>
  <w:style w:type="paragraph" w:styleId="Poprawka">
    <w:name w:val="Revision"/>
    <w:hidden w:val="1"/>
    <w:uiPriority w:val="99"/>
    <w:semiHidden w:val="1"/>
    <w:rsid w:val="0024577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ps" w:customStyle="1">
    <w:name w:val="hps"/>
    <w:uiPriority w:val="99"/>
    <w:rsid w:val="00C9620B"/>
    <w:rPr>
      <w:rFonts w:cs="Times New Roman"/>
    </w:rPr>
  </w:style>
  <w:style w:type="character" w:styleId="fontstyle01" w:customStyle="1">
    <w:name w:val="fontstyle01"/>
    <w:basedOn w:val="Domylnaczcionkaakapitu"/>
    <w:rsid w:val="00B1727B"/>
    <w:rPr>
      <w:rFonts w:ascii="Times New Roman" w:cs="Times New Roman" w:hAnsi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cez.pzh.gov.pl/wp-content/uploads/2021/03/normy_zywienia_2020web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Z8wwSA4aBugoTXhg36Rbaakpg==">CgMxLjAyCGguZ2pkZ3hzOAByITE5N1c3YUNXSjFOM3lUSjV2NmFZUEVOWmtBdnBqWURSZQ==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2024-11-15T10:47:00Z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