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Utrwalanie żywności, a jej bezpieczeństwo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Preservation of food and its safety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 (1,4/0,6)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Piotr Skałecki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z współczesnymi technologiami i metodami utrwalania żywność oraz ich wpływem na bezpieczeństwo produktów spożywczych.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W1. Ma podstawową wiedzę na temat metod utrwalania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W2.  Rozumie konsekwencje związane ze stosowaniem różnych metod utrwalania żywności na jakość surowców i produktów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U1. Potrafi ocenić jakość produktów po utrwalaniu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K1. Jest świadomy wpływu metod utrwalania żywności na jej bezpieczeństwo i potrafi się tą wiedzą dzielić.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Tendencje w utrwalaniu żywności. Wpływ chłodzenia i mrożenie na jakość żywności. Suszenie żywności (zmiany w surowcach). Wykorzystanie wysokich ciśnień w utrwalaniu żywności. Promieniowanie jonizujące i jego wpływ na żywność. Biokonserwacja żywności. Wędzenie i peklowanie, a bezpieczeństwo żywności (uwarunkowania prawne)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Litwińczuk Z</w:t>
            </w:r>
            <w:r w:rsidDel="00000000" w:rsidR="00000000" w:rsidRPr="00000000">
              <w:rPr>
                <w:rtl w:val="0"/>
              </w:rPr>
              <w:t xml:space="preserve">.: Towaroznawstwo surowców i produktów zwierzęcych z podstawami przetwórstwa. PWRiL, 2012.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Dłużewski M.,  Chuchowa J, Krajewski K,  Kamiński W.M., Dłużewska A</w:t>
            </w:r>
            <w:r w:rsidDel="00000000" w:rsidR="00000000" w:rsidRPr="00000000">
              <w:rPr>
                <w:rtl w:val="0"/>
              </w:rPr>
              <w:t xml:space="preserve">.: Technologia żywności. WsiP, tom 1 i 2, 2000.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Gruda Z., Postolski J.: Zamrażanie żywności. Wyd III rozszerzone. WNT, Warszawa 1999.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1) prezentacja,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2) ćwiczenia audytoryjne, laboratoryjne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3) wykład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 praca pisemna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karty pracy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dyskusja</w:t>
            </w:r>
          </w:p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wyników; </w:t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Lista obecności, prace pisemne, karty pracy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z ćwiczeń – średnia ocen z pracy pisemnej (równoważnik ważkości 0,6), kart pracy (równoważnik ważkości 0,4) 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– ocena z egzaminu pisemnego 50% + 50% ocena z ćwiczeń.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kontaktowe: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udział w wykładach i zaliczenie końcowe– 15 godz.,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udział w zajęciach audytoryjnych i laboratoryjnych – 15 godz.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udział w konsultacjach 5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kontaktowych 35/  1,4pkt ECTS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niekontaktowe: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zaliczeń 10 godz.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sprawozdań 5 godz. 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niekontaktowych 15/ 0,6 pkt ECTS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2 pkt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15 godz; 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ćwiczeniach –15  godz.; 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konsultacjach 5;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BC1_W10,</w:t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BC1_W04, 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BC1_U14, 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BC1_K2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InzBC_W01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InzBC_W02</w:t>
            </w:r>
          </w:p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InzBC_U03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2A740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4GqPUz22CAgT5lmG0e7f/p+kA==">CgMxLjAyCGguZ2pkZ3hzOAByITFnYzczYjlUUS1LUHZDZDMzRG0xQVNyWFU2WTJfcE1BNA==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2024-11-14T11:17:00Z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