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Produkcja i certyfikacja żywności ekologicznej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Organic food production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angielski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obowiązkowy</w:t>
            </w:r>
            <w:r w:rsidDel="00000000" w:rsidR="00000000" w:rsidRPr="00000000">
              <w:rPr>
                <w:rtl w:val="0"/>
              </w:rPr>
              <w:t xml:space="preserve">/fakultatywny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stopnia/</w:t>
            </w:r>
            <w:r w:rsidDel="00000000" w:rsidR="00000000" w:rsidRPr="00000000">
              <w:rPr>
                <w:strike w:val="1"/>
                <w:rtl w:val="0"/>
              </w:rPr>
              <w:t xml:space="preserve">drugiego stopnia/jednolite magisterskie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stacjonarne/</w:t>
            </w:r>
            <w:r w:rsidDel="00000000" w:rsidR="00000000" w:rsidRPr="00000000">
              <w:rPr>
                <w:strike w:val="1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 (1,52 / 1,48)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inż. Piotr Stanek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Pracownia Ekologicznej Produkcji Żywności Pochodzenia Zwierzęcego,  Katedra Hodowli i Ochrony Zasobów Genetycznych Bydła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Metody i  zasady produkcji  i certyfikacji żywności w systemie rolnictwa ekologicznego.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Wiedza: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W1 – Posiada wiedzę na temat metod pozyskiwania podstawowych ekologicznych surowców i produktów pochodzenia roślinnego i zwierzęcego oraz zna ogólne zagadnienia dotyczące towaroznawstwa. BC1 _W06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W2 – Zna podstawowe gatunki roślin i zwierząt wykorzystywanych do produkcji surowców wykorzystywanych w ekologicznej produkcji żywności. Posiada wiedzę z zakresu podstaw profilaktyki weterynaryjnej oraz higieny w hodowli zwierząt pod względem bezpieczeństwa produkcji surowców i przetwórstwa żywności ekologicznej. BC1 _W08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W.3.. Posiada wiedzę na temat zasad ochrony roślin, nawożenia w ekologiczne produkcji żywności oraz ich wpływu na jakość i bezpieczeństwo produkcji. Wie jak produkować pasze wysokiej jakości i jaki mają one wpływ na jakość uzyskiwanego surowca. BC 1_W12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U1 – Potrafi dyskutować wykorzystując odpowiednie sposoby komunikowania się i formy przekazu ma tematy związane z problematyką zawodu również w kontekście występujących zjawisk społecznych w tym produkcji żywności ekologicznej pochodzenia zwierzęcego. Umie wykorzystywać argumenty, uzasadniać swoje stanowisko  BC1 _U02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U2. Potrafi pracować i współpracować w grupie przyjmując różne role podczas wykonywania pracy, zmierzającej do uzyskania założonego celu.. Potrafi wykorzystywać zdobytą wiedzę do rozwiązywania postawionych problemów w tym związanych z produkcją i certyfikacją ekologiczną. BC 1_U16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U3. U3. Potrafi zidentyfikować zagrożenia dla ekologicznej produkcji surowców roślinnych i zwierzęcych. Umie przeprowadzić analizę ryzyka na każdym etapie łańcucha produkcji żywności ekologicznej. Potrafi wskazać odpowiednie działania zapobiegawcze wynikające ze specyfiki produkcji, przyjętych technologii  oraz wymogów prawnych obowiązujących w ekologicznej produkcji rolniczej. BC 1_U10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K1 – Potrafi  formułować opinie na temat prawidłowego wykorzystania surowców roślinnych i zwierzęcych w bezpośredniej i pośredniej produkcji bezpiecznej żywności ekologicznej BC1 _K02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K2 - Odpowiedzialny za produkcję bezpiecznej żywności wysokiej jakości zarówno pochodzenia roślinnego i zwierzęcego, klasycznej, jak i ekologicznej w aspekcie zdrowia człowieka oraz właściwe zagospodarowanie odpadów pochodzących z przemysłu rolno-spożywczego. BC1 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Podstawy produkcji zwierzęcej i roślinnej, biologia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Pozycja i zakres ekologicznej produkcji żywności. Czynniki warunkujące efektywność produkcji żywności ekologicznej. Prawne regulacje rynku żywności ekologicznej. Zasady rolnictwa ekologicznego w kontekście wpływu na bezpieczeństwo i jakość produkowanych płodów rolnych. Produkt regionalny, tradycyjny, ekologiczny i konwencjonalny. Przetwórstwo żywności ekologicznej na poziomie gospodarstwa i w przetwórniach. Główne wytyczne w ekologicznej produkcji żywności – wymagania i zalecenia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Tyburski J, Żakowska-Biemans S.: Wprowadzenie do rolnictwa ekologicznego. Wydawnictwo SGGW  Warszawa 2007.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Siebeneicher G.E.: Podręcznik Rolnictwa Ekologicznego. Wydawnictwo Naukowe PWN, Warszawa 1997.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Neuerburg W., Padel S.: Rolnictwo ekologiczne w praktyce (red. Sołtysiak U.). Stowarzyszenie EKOLAND – Stiftung LEBEN &amp; UMWELT, Warszawa 1994.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Sołtysiak U. (red.). Rolnictwo ekologiczne od teorii do praktyki. Stowarzyszenie EKOLAND – Stiftung LEBEN &amp; UMWELT, Warszawa 1993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Sleptsov Yuri: Rolnictwo ekologiczne. Wydawnictwo Nasza Wiedza, 2020.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WWW.minrol.dov.pl</w:t>
              </w:r>
            </w:hyperlink>
            <w:r w:rsidDel="00000000" w:rsidR="00000000" w:rsidRPr="00000000">
              <w:rPr>
                <w:rtl w:val="0"/>
              </w:rPr>
              <w:t xml:space="preserve"> (strona Ministerstwa Rolnictwa i Rozwoju Wsi)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color w:val="232323"/>
                <w:rtl w:val="0"/>
              </w:rPr>
              <w:t xml:space="preserve">Rozporządzenie 2018/848 w sprawie produkcji ekologicznej i znakowania produktów ekologicznych i uchylające rozporządzenie Rady (WE) nr 834/2007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Ustawa z dnia 23 czerwca 2022 r. o rolnictwie ekologicznym i produkcji ekologicznej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Literatura uzupełniająca: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polskie e-czasopisma, czasopisma popularno-naukowe i naukowe, materiały ODR, Ministerstwa Rolnictwa i Rozwoju Wsi, IHARS itp.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Wykład,  prezentacja multimedialna, film instruktażowy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warsztaty, referat, Analiza SWOT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W2, W3 - dyskusja w grupach, ocena z zaliczenia końcowego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U2- zaliczenie kart pracy, zaliczenie wykonywanych ćwiczeń, obserwacja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K1, K2- dyskusja panelowa, obserwacja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Formy dokumentowania osiągniętych wyników: karty pracy, dziennik prowadzącego, prace zaliczeniowe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" w:hanging="218"/>
              <w:jc w:val="both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końcowa= 100% oceny z zaliczenia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strike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wykład (15 godz./0,6 ECTS),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(15 godz./0,6 ECTS),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(5 godz./0,2 ECTS)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zaliczenie zadań projektowych (m.in. analiza SWOT) (3 godz./0,12 ECTS)</w:t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38 godz./1,52 ECTS</w:t>
            </w:r>
          </w:p>
          <w:p w:rsidR="00000000" w:rsidDel="00000000" w:rsidP="00000000" w:rsidRDefault="00000000" w:rsidRPr="00000000" w14:paraId="0000006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Niekontaktowe: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(15 godz./0,6 ECTS),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(12 godz./0,48 ECTS),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zaliczenia końcowego (10 godz./0,4)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Łącznie 37 godz./1,48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15 godz.; w ćwiczeniach – 15 godz.; konsultacjach – 5 godz.; zaliczenie kart pracy – 3 godz.</w:t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W1 - BC1 _W06, 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 _W08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W3 -  BC 1_W12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 _U02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BC 1_U16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BC 1_U10</w:t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 _K02</w:t>
            </w:r>
          </w:p>
          <w:p w:rsidR="00000000" w:rsidDel="00000000" w:rsidP="00000000" w:rsidRDefault="00000000" w:rsidRPr="00000000" w14:paraId="000000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K2 - BC1 _K05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W1 -  InzBC_W01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 –  InzBC_U02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U3 - InzBC_U03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 w:val="1"/>
    <w:qFormat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ipercze">
    <w:name w:val="Hyperlink"/>
    <w:rsid w:val="002E19CD"/>
    <w:rPr>
      <w:color w:val="0000ff"/>
      <w:u w:val="single"/>
    </w:rPr>
  </w:style>
  <w:style w:type="character" w:styleId="markedcontent" w:customStyle="1">
    <w:name w:val="markedcontent"/>
    <w:basedOn w:val="Domylnaczcionkaakapitu"/>
    <w:qFormat w:val="1"/>
    <w:rsid w:val="002E19CD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inrol.dov.p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Cr1MXiMBzxI1KdAVgztMXy7gA==">CgMxLjAyCGguZ2pkZ3hzOAByITE5TTZtRENZYTRxbFZ5U0tJbnBvaDY5M0lXSE1UX09JWA==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2024-12-02T09:54:00Z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