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hd w:fill="ffffff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Biologia molekularna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Molecular biology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fakultatywny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 (1,88/1,12)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Angelika Tkaczyk-Wlizło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Instytut Biologicznych Podstaw Produkcji Zwierzęcej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Podstawowe metody i techniki z zakresu biologii molekularnej. Kierunki badań oraz praktyczne wykorzystanie osiągnięć z zakresu biologii molekularnej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W1. Ma wiedzę na temat podstawowych pojęć z zakresu biologii molekularnej i stosowanych podstawowych metod badawczych. Rozumie związki między osiągnięciami biologii molekularnej a możliwościami ich wykorzystania w różnych kierunkach badań.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U1. Wykazuje umiejętność krytycznej analizy i selekcji informacji dotyczących osiągnięć biologii molekularnej.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K1. Ma świadomość znaczenia technik biologii molekularnej w różnych dziedzinach badań teoretycznych i aplikacyjnych.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 _W03</w:t>
            </w:r>
          </w:p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BC1 _U06</w:t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 _K03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InzBC_W02 </w:t>
            </w:r>
          </w:p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InzBC_U02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zaliczony moduł „Genetyka”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Zasady pracy w laboratorium biologii molekularnej. Rodzaje i sposób pobierania materiału biologicznego do badań z zakresu biologii molekularnej. Podstawy wybranych metod i technik biologii molekularnej. Markery molekularne wykorzystywane w różnych kierunkach badań. Specyfika budowy i funkcji genomu jądrowego (nDNA) i mitochondrialnego (mtDNA). Wykorzystanie nDNA i mtDNA w badaniach.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tabs>
                <w:tab w:val="left" w:leader="none" w:pos="540"/>
                <w:tab w:val="left" w:leader="none" w:pos="720"/>
              </w:tabs>
              <w:ind w:left="397" w:hanging="397"/>
              <w:jc w:val="both"/>
              <w:rPr>
                <w:i w:val="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Brown T.A. –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Genomy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Wydawnictwo Naukowe PWN, Warszawa, 2019.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tabs>
                <w:tab w:val="left" w:leader="none" w:pos="540"/>
                <w:tab w:val="left" w:leader="none" w:pos="720"/>
              </w:tabs>
              <w:ind w:left="397" w:hanging="39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0"/>
                <w:sz w:val="22"/>
                <w:szCs w:val="22"/>
                <w:rtl w:val="0"/>
              </w:rPr>
              <w:t xml:space="preserve">Charon K.M., Świtoński M.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Genetyka i genomika zwierząt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Wydawnictwo Naukowe PWN. 2022.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tabs>
                <w:tab w:val="left" w:leader="none" w:pos="540"/>
                <w:tab w:val="left" w:leader="none" w:pos="720"/>
              </w:tabs>
              <w:ind w:left="397" w:hanging="39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Słomski R. (red).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Analiza DNA – Teoria i Praktyka.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Wydawnictwo U.P. Poznań, 2014.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Wykłady, dyskusja, ćwiczenia audytoryjne, praca studentów w grupach - praktyczne analizy DNA z zakresu biologii molekularnej.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– sprawdzian pisemny w formie pytań otwartych (definicje do wyjaśnienia, rozwiązywanie zadań problemowych), zaliczenie końcowe pisemne – test jednokrotnego wyboru.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U1 – ocena zadania projektowego, ocena wystąpienia (ocena prezentacji lub ocena przeprowadzenia eksperymentu), ocena sprawdzianu i zaliczenia końcowego. </w:t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– udział w dyskusji, wspólne dążenie do weryfikacji postawionych tez poprzez analizę danych, dyskusję i sprawdziany pisemne.</w:t>
            </w:r>
          </w:p>
          <w:p w:rsidR="00000000" w:rsidDel="00000000" w:rsidP="00000000" w:rsidRDefault="00000000" w:rsidRPr="00000000" w14:paraId="0000004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FORMY DOKUMENTOWANIA OSIĄGNIĘTYCH EFEKTÓW UCZENIA SIĘ: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 formie: prace etapowe: zaliczenia cząstkowe/zaliczenie projektu i/lub prezentacja oraz pracy końcowej: zaliczenia końcowego. Archiwizowanie w formie papierowej lub cyfrowej.</w:t>
            </w:r>
          </w:p>
          <w:p w:rsidR="00000000" w:rsidDel="00000000" w:rsidP="00000000" w:rsidRDefault="00000000" w:rsidRPr="00000000" w14:paraId="0000004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 ocenę końcową ma wpływ średnia ocena z ćwiczeń (50%) i ocena z zaliczenia końcowego (50%). Warunki te są przedstawiane studentom i konsultowane z nimi na pierwszym wykładzie.</w:t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może uzyskać końcową ocenę pozytywną jedynie po uzyskaniu minimum oceny 3.0 z części ćwiczeniowej i minimum oceny 3,0 z części wykładowej modułu, czyli z zaliczenia końcowego.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Formy zajęć: </w:t>
            </w:r>
          </w:p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Kontaktowe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(30 godz./1,2 ECTS),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(15 godz./0,6 ECTS),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konsultacje (2 godz./0,08 ECTS).</w:t>
            </w:r>
          </w:p>
          <w:p w:rsidR="00000000" w:rsidDel="00000000" w:rsidP="00000000" w:rsidRDefault="00000000" w:rsidRPr="00000000" w14:paraId="0000005F">
            <w:pPr>
              <w:ind w:left="1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Łącznie – 47 godz./1,88 ECTS</w:t>
            </w:r>
          </w:p>
          <w:p w:rsidR="00000000" w:rsidDel="00000000" w:rsidP="00000000" w:rsidRDefault="00000000" w:rsidRPr="00000000" w14:paraId="0000006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487"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zajęć (15 godz./0,6 ECTS),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studiowanie literatury (13 godz./0,52 ECTS),</w:t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Łącznie 28 godz./1,12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udział w wykładach – 30 godz.; w ćwiczeniach – 15 godz.; konsultacjach – 2 godz.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70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1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97" w:hanging="397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F1306"/>
    <w:pPr>
      <w:ind w:left="720"/>
      <w:contextualSpacing w:val="1"/>
    </w:pPr>
  </w:style>
  <w:style w:type="paragraph" w:styleId="Default" w:customStyle="1">
    <w:name w:val="Default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ps" w:customStyle="1">
    <w:name w:val="hps"/>
    <w:rsid w:val="004A10AD"/>
  </w:style>
  <w:style w:type="character" w:styleId="Uwydatnienie">
    <w:name w:val="Emphasis"/>
    <w:qFormat w:val="1"/>
    <w:rsid w:val="0096156B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JtArJpoJufhNTbrKoi4xweXpA==">CgMxLjA4AHIhMW5mVElKd2xBYzdab0h5MGVQRVJSMFNxUlZvNG1teTZB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2024-11-20T15:42:00Z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