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Metody oceny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Methods of food 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 (2,72/2,28)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Monika Kędzierska-Matysek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zasadami, metodami i wybranymi urządzeniami oraz przyrządami stosowanymi w analizie żywności, jak również umożliwienie nabycia umiejętności manualnych, interpretacji uzyskanych wyników, niezbędnych w pracy laboratoryjnej.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Definiuje i rozumie podstawowe pojęcia z zakresu jakości żywności. Wie w jakich dokumentach zawarte są wymagania jakościowe  dla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Zna metody stosowane w analizie żywności i rozumie ich zasady oraz rolę, jaką odgrywają w zapewnieniu bezpieczeństwa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 Umie ocenić jakość, skład chemiczny produktów i surowców żywnościowych odpowiednimi technikami laboratoryjnymi  oraz prawidłowo interpretować wyniki zgodnie z obowiązującymi normami i rozporządzeniami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 Wykorzystać do prostych problemów badawczych metody analityczne,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 Wykazuje samodzielność w przeprowadzeniu analizy laboratoryjnej żywności i doborze metod badawczych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BC1_W10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W2 - </w:t>
            </w:r>
            <w:r w:rsidDel="00000000" w:rsidR="00000000" w:rsidRPr="00000000">
              <w:rPr>
                <w:rtl w:val="0"/>
              </w:rPr>
              <w:t xml:space="preserve">BC1_W13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BC1_U09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BC1_K03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InzBC_U02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Sprzęt i odczynniki w laboratorium. BHP w pracy laboratoryjnej. Znaczenie składników żywności w kształtowaniu jej jakości. Normy jakości żywności. Zasady pobierania i techniki przygotowania próbek.  Ocena produktów żywnościowych według określonych wymagań jakościowych. Chemiczne, fizyczne metody analizy składników żywności. Metody sensoryczne w badaniu żywności.  Zafałszowania żywności. Błędy w analizie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Baryłko-Pikielna N. Matuszewska J.: Sensoryczne badania żywności: podstawy, metody, zastosowania, Wyd. Naukowe PTTŻ, Kraków, 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Gronowska-Senger A. (red.): Analiza żywności. Zbiór ćwiczeń, Wyd. SGGW Warszawa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Litwińczuk Z. (red.): Metody oceny towaroznawczej surowców i produktów zwierzęcych. Wyd. Uniwersytetu Przyrodniczego, Lublin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Normy, rozporządzenia do analiz żywności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Nogala-Kałucka M.: Analiza żywności: wybrane metody jakościowych i ilościowych oznaczeń składników żywności. Wyd. Uniwersytetu przyrodniczego, Poznań.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Fortuna T., Juszczak L., Sobolewska-Zielińska J.: Podstawy analizy żywności. Wydawnictwo AR w Krakowie 2001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Kumirska J., Gołębiowski M., Paszkiewicz M., Bychawska A. Analiza żywności, Wyd. Uniwersytetu Gdańskiego,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dyskusja, wykład, ćwiczenia, doświadczenie, interpretacja uzyskanych wyników z analizy badawczej, pokaz, konsultacje, ćwiczenia w grupach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W2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pisemny egzamin / ocena egzaminu pisemnego, ocena ze sprawdzianu, ocena z kart sprawozdawczych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U1, U2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sprawdzianów, ocena kart sprawozdawczych z analiz laboratoryjnych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K1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pracy w grupie i pracy indywidualnej i aktywności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obecności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prace końcowe: egzaminy, archiwizowanie w formie papierowej /lub cyfrowej; sprawdziany archiwizowane w formie papierowej /lub cyfrowej, karty pracy archiwizowane w formie papierowej /lub cyfrowej; dziennik prowadzącego,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końcowa = ocena z egzaminu pisemnego 50% + 50% ocena z ćwiczeń.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z ćwiczeń = ocena ze sprawozdań, aktywności i pracy laboratoryjnej 30% + ocena ze sprawdzianów 70%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(30 godz./1,2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(30 godz./1,2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(4 godz./0,16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egzamin/egzamin poprawkowy (4 godz./0,16 ECTS).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68 godz./2,72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(20 godz./0,8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(15 godz./0,6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(22 godz./0,88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57 godz./2,28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30 godz.; w ćwiczeniach – 30 godz.; konsultacjach – 4 godz.; w egzaminie 4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5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C418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/7r5NrfOBiN3o+bYarsriZ5J+A==">CgMxLjA4AHIhMU11eEFMaG9LX1VTdVZBTmE3a0lCdGZrQjQ4N0ptUHVC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