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Język obcy 2– Rosyjski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2– Russian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rosyjski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Daniel Zagrodnik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formułowania dłuższych, złożonych wypowiedzi na tematy ogólne z wykorzystaniem elementów języka specjalistycznego.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U2. Posiada umiejętność czytania ze zrozumieniem tekstów o tematyce bieżącej oraz artykułów popularno-naukowych.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U3. Rozumie sens dłuższych wypowiedzi, wykładów, prezentacji, audycji radiowych.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U4. Konstruuje w formie pisemnej notatki, raporty z wykorzystaniem słownictwa oraz zwrotów z dyscypliny związanej ze studiowanym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3E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3F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Махнач 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первых уст. Русский язык для среднего уровня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2021.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Zdunik M., Galant S.,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Repetytorium maturalne z języka rosyjskiego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2014.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Chuchmacz D., Ossowska H.,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Вот грамматика! Repetytorium gramatyczne z języka rosyjskiego z ćwiczeniami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2010.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Караванова Н.Б.,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Читаем и всё понимаем. Пособие по чтению и развитию речи для иностранцев, изучающих русский язык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Москва 2013.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Kuca Z.,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rosyjski w biznesie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2007.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Ткаченко Н.Г.,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Тесты. Грамматика русского языка ч. 1,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Москва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wypowiedzi ustnych na zajęciach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wypowiedzi ustnych na zajęciach oraz prac domowych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ocena wypowiedzi ustnych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 ocena dłuższych wypowiedzi pisemnych oraz prac domowych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przygotowania do zajęć i aktywności na ćwiczeniach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6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6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6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7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godz., co odpowiada 1,24 punktom ECTS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5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D04FF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ldW6BaxWWhcP+cUregm20lIIA==">CgMxLjAyCGguZ2pkZ3hzMgloLjMwajB6bGw4AHIhMXMtYlplOW41amJzZ2JFTHJVdno2T0lleVRON2FELTRi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2024-06-13T15:13:00Z</dcterms:created>
  <dc:creator>1</dc:creator>
</cp:coreProperties>
</file>