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4741" w:rsidRDefault="00FF2371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AE4741" w:rsidRDefault="00FF2371">
      <w:pPr>
        <w:rPr>
          <w:b/>
        </w:rPr>
      </w:pPr>
      <w:r>
        <w:rPr>
          <w:b/>
        </w:rPr>
        <w:t>Karta opisu zajęć (sylabus)</w:t>
      </w:r>
    </w:p>
    <w:p w:rsidR="00AE4741" w:rsidRDefault="00AE4741">
      <w:pPr>
        <w:rPr>
          <w:b/>
        </w:rPr>
      </w:pPr>
    </w:p>
    <w:tbl>
      <w:tblPr>
        <w:tblStyle w:val="a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Nazwa kierunku studiów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Bezpieczeństwo i certyfikacja żywności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 w:rsidP="00606700">
            <w:pPr>
              <w:tabs>
                <w:tab w:val="left" w:pos="2340"/>
              </w:tabs>
            </w:pPr>
            <w:r>
              <w:t>Etyka w biznesie</w:t>
            </w:r>
            <w:bookmarkStart w:id="0" w:name="_heading=h.gjdgxs" w:colFirst="0" w:colLast="0"/>
            <w:bookmarkEnd w:id="0"/>
          </w:p>
          <w:p w:rsidR="00606700" w:rsidRDefault="00606700" w:rsidP="00606700">
            <w:pPr>
              <w:tabs>
                <w:tab w:val="left" w:pos="2340"/>
              </w:tabs>
            </w:pPr>
            <w:r w:rsidRPr="00606700">
              <w:rPr>
                <w:lang w:val="en"/>
              </w:rPr>
              <w:t>Ethics in business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Język wykładowy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j. polski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Rodzaj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fakultatywny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pierwszego stopnia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Forma studiów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stacjonarne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1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Liczba punktów ECTS z podziałem na kontaktowe/</w:t>
            </w:r>
            <w:proofErr w:type="spellStart"/>
            <w:r>
              <w:t>niekontaktowe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 (1,4/0,60)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>
            <w:r>
              <w:t>Dr hab. Wiktor Bojar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Jednostka oferująca moduł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Katedra Hodowli Zwierząt i Doradztwa Rolniczego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Cel modułu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606700">
            <w:r>
              <w:t>Przedstawienie zasad etycznych w biznesie. R</w:t>
            </w:r>
            <w:r w:rsidRPr="00606700">
              <w:t xml:space="preserve">ozbudzenie wrażliwości na dylematy i konflikty moralne towarzyszące podejmowaniem decyzji na szczeblu zarządczym </w:t>
            </w:r>
            <w:r>
              <w:t>w biznesie.</w:t>
            </w:r>
          </w:p>
        </w:tc>
      </w:tr>
      <w:tr w:rsidR="00AE4741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AE4741" w:rsidRDefault="00FF2371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Wiedza: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2B4C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 w:rsidR="00FF2371">
              <w:rPr>
                <w:color w:val="000000"/>
                <w:sz w:val="22"/>
                <w:szCs w:val="22"/>
              </w:rPr>
              <w:t xml:space="preserve">Rozumie wpływ uwarunkowań społecznych ekonomicznych i marketingowych na produkcję, handel i konsumpcję produktów żywnościowych.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2.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Umiejętności: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2B4C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 w:rsidR="00FF2371">
              <w:rPr>
                <w:color w:val="000000"/>
                <w:sz w:val="22"/>
                <w:szCs w:val="22"/>
              </w:rPr>
              <w:t xml:space="preserve">Pracować i współpracować w grupie przyjmując różne role podczas wykonywania pracy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Kompetencje społeczne: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2B4C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 w:rsidR="00FF2371">
              <w:rPr>
                <w:color w:val="000000"/>
                <w:sz w:val="22"/>
                <w:szCs w:val="22"/>
              </w:rPr>
              <w:t xml:space="preserve">Stałego uzupełniania wiedzy i samodoskonalenia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Kod efektu modułowego – kod efektu kierunkowego</w:t>
            </w:r>
          </w:p>
          <w:p w:rsidR="00AE4741" w:rsidRDefault="00FF2371">
            <w:pPr>
              <w:jc w:val="both"/>
            </w:pPr>
            <w:r>
              <w:t>W1 – BC1_W06</w:t>
            </w:r>
          </w:p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U1 – </w:t>
            </w:r>
            <w:r>
              <w:t>BC1_U16</w:t>
            </w:r>
          </w:p>
          <w:p w:rsidR="00AE4741" w:rsidRDefault="00FF2371">
            <w:pPr>
              <w:jc w:val="both"/>
            </w:pPr>
            <w:r>
              <w:t>K1 – BC1_K01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Odniesienie modułowych efektów uczenia się do efektów inżynierskich (jeżeli dotyczy)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Kod efektu modułowego – kod efektu inżynierskiego</w:t>
            </w:r>
          </w:p>
          <w:p w:rsidR="00AE4741" w:rsidRDefault="00AE4741">
            <w:pPr>
              <w:jc w:val="both"/>
            </w:pP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brak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lastRenderedPageBreak/>
              <w:t xml:space="preserve">Treści programowe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606700" w:rsidRDefault="00FF2371" w:rsidP="00606700">
            <w:r>
              <w:t xml:space="preserve">Zajęcia będą poświęcone </w:t>
            </w:r>
            <w:r w:rsidR="00606700">
              <w:t xml:space="preserve">podstawowym pojęciom i zasadom z zakresu etyki ogólnej oraz etyki finansów. Wprowadzenie do wykorzystania i promowania wartości w działalności finansowej i zarządczej. Treści na temat związków między etyką a prawem, zwyczajami i obyczajami. Znajomość Manifestu z Davos i zasad Okrągłego stołu z </w:t>
            </w:r>
            <w:proofErr w:type="spellStart"/>
            <w:r w:rsidR="00606700">
              <w:t>Caux</w:t>
            </w:r>
            <w:proofErr w:type="spellEnd"/>
            <w:r w:rsidR="00606700">
              <w:t>, Global Compact, idei kodeksów dobrych praktyk i wybranych kodeksów z zakresu finansów i zarządzania. Przeciwdziałanie patologiom w biznesie i zarządzaniu.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606700" w:rsidRDefault="00606700" w:rsidP="00606700">
            <w:r>
              <w:t>Literatura podstawowa:</w:t>
            </w:r>
          </w:p>
          <w:p w:rsidR="00606700" w:rsidRDefault="00606700" w:rsidP="00606700">
            <w:r>
              <w:t>Gasparski W. Biznes, etyka, odpowiedzialność, 2012</w:t>
            </w:r>
          </w:p>
          <w:p w:rsidR="00606700" w:rsidRDefault="00606700" w:rsidP="00606700">
            <w:r>
              <w:t>Literatura uzupełniająca</w:t>
            </w:r>
          </w:p>
          <w:p w:rsidR="00606700" w:rsidRDefault="00606700" w:rsidP="00606700">
            <w:r>
              <w:t>Rybak M. Etyka Menedżera. Społeczna Odpowiedzialność Przedsiębiorstwa, 2023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Wykład, prezentacja multimedialna, referat problemowy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SPOSOBY WERYFIKACJI: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W1 – </w:t>
            </w:r>
            <w:r>
              <w:rPr>
                <w:color w:val="000000"/>
                <w:sz w:val="22"/>
                <w:szCs w:val="22"/>
              </w:rPr>
              <w:t xml:space="preserve">ocena referatu, 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U1– </w:t>
            </w:r>
            <w:r>
              <w:rPr>
                <w:color w:val="000000"/>
                <w:sz w:val="22"/>
                <w:szCs w:val="22"/>
              </w:rPr>
              <w:t>ocena referatu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t xml:space="preserve">K1 – </w:t>
            </w:r>
            <w:r>
              <w:rPr>
                <w:sz w:val="22"/>
                <w:szCs w:val="22"/>
              </w:rPr>
              <w:t xml:space="preserve">zachowanie i aktywność na </w:t>
            </w:r>
            <w:proofErr w:type="gramStart"/>
            <w:r>
              <w:rPr>
                <w:sz w:val="22"/>
                <w:szCs w:val="22"/>
              </w:rPr>
              <w:t>zajęciach,  ocena</w:t>
            </w:r>
            <w:proofErr w:type="gramEnd"/>
            <w:r>
              <w:rPr>
                <w:sz w:val="22"/>
                <w:szCs w:val="22"/>
              </w:rPr>
              <w:t xml:space="preserve"> udziału w dyskusji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 xml:space="preserve">FORMY DOKUMENTOWANIA OSIĄGNIĘTYCH EFEKTÓW UCZENIA SIĘ: </w:t>
            </w:r>
            <w:r>
              <w:rPr>
                <w:sz w:val="22"/>
                <w:szCs w:val="22"/>
              </w:rPr>
              <w:t xml:space="preserve">prace końcowe referaty, archiwizowanie w formie papierowej 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Szczegółowe kryteria przy ocenie zaliczenia i prac kontrolnych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plus dobry stopień (4,5) wiedzy, umiejętności lub kompetencji, gdy uzyskuje od 81 do 90% sumy punktów określających maksymalny poziom </w:t>
            </w:r>
            <w:r>
              <w:rPr>
                <w:color w:val="000000"/>
                <w:sz w:val="22"/>
                <w:szCs w:val="22"/>
              </w:rPr>
              <w:lastRenderedPageBreak/>
              <w:t>wiedzy lub umiejętności z danego przedmiotu (odpowiednio – jego części),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lastRenderedPageBreak/>
              <w:t>Elementy i wagi mające wpływ na ocenę końcową</w:t>
            </w:r>
          </w:p>
          <w:p w:rsidR="00AE4741" w:rsidRDefault="00AE4741"/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 xml:space="preserve">Ocena końcowa = ocena z </w:t>
            </w:r>
            <w:r w:rsidR="00606700">
              <w:t>pracy końcowej</w:t>
            </w:r>
            <w:r>
              <w:t xml:space="preserve"> 90% + 10% ocena z aktywności.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  <w:p w:rsidR="00AE4741" w:rsidRDefault="00FF23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Warunki te są przedstawiane na pierwszych zajęciach z modułu.</w:t>
            </w:r>
          </w:p>
        </w:tc>
      </w:tr>
      <w:tr w:rsidR="00AE4741">
        <w:trPr>
          <w:trHeight w:val="2324"/>
        </w:trPr>
        <w:tc>
          <w:tcPr>
            <w:tcW w:w="3942" w:type="dxa"/>
            <w:shd w:val="clear" w:color="auto" w:fill="auto"/>
          </w:tcPr>
          <w:p w:rsidR="00AE4741" w:rsidRDefault="00FF2371">
            <w:pPr>
              <w:jc w:val="both"/>
            </w:pPr>
            <w:r>
              <w:t>Bilans punktów ECTS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Formy zajęć: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Kontaktowe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wykład (30 godz./1,2 ECTS), 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konsultacje (</w:t>
            </w:r>
            <w:r w:rsidR="00606700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606700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Łącznie – 3</w:t>
            </w:r>
            <w:r w:rsidR="0060670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godz./1,</w:t>
            </w:r>
            <w:r w:rsidR="0060670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ECTS</w:t>
            </w:r>
          </w:p>
          <w:p w:rsidR="00AE4741" w:rsidRDefault="00AE4741">
            <w:pPr>
              <w:ind w:left="487"/>
              <w:rPr>
                <w:b/>
                <w:sz w:val="22"/>
                <w:szCs w:val="22"/>
              </w:rPr>
            </w:pPr>
          </w:p>
          <w:p w:rsidR="00AE4741" w:rsidRPr="00606700" w:rsidRDefault="00FF2371" w:rsidP="0060670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Niekontaktowe</w:t>
            </w:r>
            <w:proofErr w:type="spellEnd"/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studiowanie literatury (</w:t>
            </w:r>
            <w:r w:rsidR="00606700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godz./0,2 ECTS),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przygotowanie </w:t>
            </w:r>
            <w:r w:rsidR="00606700">
              <w:rPr>
                <w:color w:val="000000"/>
                <w:sz w:val="22"/>
                <w:szCs w:val="22"/>
              </w:rPr>
              <w:t xml:space="preserve">pracy końcowej </w:t>
            </w:r>
            <w:r>
              <w:rPr>
                <w:color w:val="000000"/>
                <w:sz w:val="22"/>
                <w:szCs w:val="22"/>
              </w:rPr>
              <w:t>(10 godz./0,4 ECTS),</w:t>
            </w:r>
          </w:p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>Łącznie 15 godz./0,6 ECTS</w:t>
            </w:r>
          </w:p>
        </w:tc>
      </w:tr>
      <w:tr w:rsidR="00AE4741">
        <w:trPr>
          <w:trHeight w:val="718"/>
        </w:trPr>
        <w:tc>
          <w:tcPr>
            <w:tcW w:w="3942" w:type="dxa"/>
            <w:shd w:val="clear" w:color="auto" w:fill="auto"/>
          </w:tcPr>
          <w:p w:rsidR="00AE4741" w:rsidRDefault="00FF2371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udział w wykładach – 30 godz.; konsultacjach – 5 godz.; </w:t>
            </w:r>
          </w:p>
        </w:tc>
      </w:tr>
    </w:tbl>
    <w:p w:rsidR="00AE4741" w:rsidRDefault="00AE4741"/>
    <w:p w:rsidR="00AE4741" w:rsidRDefault="00AE4741"/>
    <w:p w:rsidR="00AE4741" w:rsidRDefault="00AE4741"/>
    <w:p w:rsidR="00AE4741" w:rsidRDefault="00AE4741"/>
    <w:p w:rsidR="00AE4741" w:rsidRDefault="00AE4741">
      <w:pPr>
        <w:rPr>
          <w:i/>
        </w:rPr>
      </w:pPr>
    </w:p>
    <w:p w:rsidR="00AE4741" w:rsidRDefault="00AE4741"/>
    <w:p w:rsidR="00AE4741" w:rsidRDefault="00AE4741"/>
    <w:sectPr w:rsidR="00AE4741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2371" w:rsidRDefault="00FF2371">
      <w:r>
        <w:separator/>
      </w:r>
    </w:p>
  </w:endnote>
  <w:endnote w:type="continuationSeparator" w:id="0">
    <w:p w:rsidR="00FF2371" w:rsidRDefault="00FF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0C5879DC-1E46-4F33-BDE0-0EB0D0267A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904A104-8CFF-4F14-8F31-65F1D6A175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66FDFA-FA2D-4D7C-8085-0A5451874A0B}"/>
    <w:embedItalic r:id="rId4" w:fontKey="{7B49A04E-7D2D-4A9A-81D3-99B352F1C3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266AFBC-315E-424D-B372-BA8AD4666D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2AA447A-3494-40A3-9103-20F157D98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FF2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670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06700">
      <w:rPr>
        <w:noProof/>
        <w:color w:val="000000"/>
      </w:rPr>
      <w:t>3</w:t>
    </w:r>
    <w:r>
      <w:rPr>
        <w:color w:val="000000"/>
      </w:rPr>
      <w:fldChar w:fldCharType="end"/>
    </w:r>
  </w:p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2371" w:rsidRDefault="00FF2371">
      <w:r>
        <w:separator/>
      </w:r>
    </w:p>
  </w:footnote>
  <w:footnote w:type="continuationSeparator" w:id="0">
    <w:p w:rsidR="00FF2371" w:rsidRDefault="00FF2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FF2371">
    <w:pPr>
      <w:jc w:val="right"/>
      <w:rPr>
        <w:sz w:val="22"/>
        <w:szCs w:val="22"/>
      </w:rPr>
    </w:pPr>
    <w:proofErr w:type="gramStart"/>
    <w:r>
      <w:rPr>
        <w:sz w:val="22"/>
        <w:szCs w:val="22"/>
      </w:rPr>
      <w:t>Załącznik  nr</w:t>
    </w:r>
    <w:proofErr w:type="gramEnd"/>
    <w:r>
      <w:rPr>
        <w:sz w:val="22"/>
        <w:szCs w:val="22"/>
      </w:rPr>
      <w:t xml:space="preserve"> 4 do Uchwały nr 3/2023-2024</w:t>
    </w:r>
  </w:p>
  <w:p w:rsidR="00AE4741" w:rsidRDefault="00FF2371">
    <w:pPr>
      <w:jc w:val="righ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Senatu UP w Lublinie z dnia 27 października 2023 r.</w:t>
    </w:r>
  </w:p>
  <w:p w:rsidR="00AE4741" w:rsidRDefault="00FF2371">
    <w:pPr>
      <w:tabs>
        <w:tab w:val="left" w:pos="5205"/>
      </w:tabs>
      <w:spacing w:after="120"/>
    </w:pPr>
    <w:r>
      <w:t xml:space="preserve"> </w:t>
    </w:r>
    <w:r>
      <w:tab/>
    </w:r>
  </w:p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520B4"/>
    <w:multiLevelType w:val="multilevel"/>
    <w:tmpl w:val="9FD42480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A217FD"/>
    <w:multiLevelType w:val="multilevel"/>
    <w:tmpl w:val="D82802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5724806">
    <w:abstractNumId w:val="0"/>
  </w:num>
  <w:num w:numId="2" w16cid:durableId="1427265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41"/>
    <w:rsid w:val="002B4CD3"/>
    <w:rsid w:val="00606700"/>
    <w:rsid w:val="00AE4741"/>
    <w:rsid w:val="00D009B4"/>
    <w:rsid w:val="00E97076"/>
    <w:rsid w:val="00F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4EAA6"/>
  <w15:docId w15:val="{08F1E154-9EFD-4371-AA54-27B0CE3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56JxvAe19bmQD7ByZwmZhsvA5Q==">CgMxLjAyCGguZ2pkZ3hzOAByITFLa2V6b1ZqeThEem5WTm9zU0toZzdLQVl3WjJvOE0zQg==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666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Piotr Domaradzki</cp:lastModifiedBy>
  <cp:revision>3</cp:revision>
  <dcterms:created xsi:type="dcterms:W3CDTF">2024-12-08T07:41:00Z</dcterms:created>
  <dcterms:modified xsi:type="dcterms:W3CDTF">2024-12-08T21:23:00Z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