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Podstawy zarządzania przedsiębiorstwem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Fundamentals of business management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2(0,64/1,36)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inż. Paulina Nazar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Hodowli Zwierząt i Doradztwa Rolniczego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Zdobycie wiedzy z zakresu podstaw prawa oraz zasad prowadzenia działalności gospodarczej.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podstawowe zagadnienia z zakresu wiedzy prawnej w zakresie prowadzenia działalności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gospodarczej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 Potrafi planować działalność gospodarczą stosując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techniki informatyczne, statystyczne, przepisy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finansowe, ekonomiczne i prawne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Posiada umiejętność posługiwania się poprawna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terminologią w zakresie prawa: wyszukiwać,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analizować i wykorzystywać przepisy prawne oraz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informacje pochodzące z różnych źródeł, praw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autorskich i własności przemysłowej, norm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technicznych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1. Jest gotów przestrzegania zasad etycznych i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uregulowań prawnych swojego zawodu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BC2_W01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 BC2 _U14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U2- BC2 _U01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K1-BC2 _K04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Nabycie praktycznej wiedzy i umiejętności w zakresie zakładania i prowadzenia przedsiębiorstwa w Polsce. Poznanie reguł funkcjonowania. Rozróżnianie podstawowych pojęć prawnych, interpretowanie przepisów według obowiązujących reguł. Orientacja w wykorzystywaniu przepisów dla prowadzenia działalności gospodarczej.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1.Przedsiębiorstwo. Podstawy nauki o przedsiębiorstwie. Zarządzanie przedsiębiorstwem. Stanisław Sudoł. Wydawnictwo PWE S.A. 2006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podstawowa: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2. Prawne aspekty podejmowania decyzji menedżerskich. Bojar E, Bojar, M; Bojar W. 2018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3. K. Kruczalak, Zarys prawa handlowego, Wydawnictwo Prawnicze Lexis Nexis, Warszawa 2003.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wykłady, studiowanie literatury, dyskusja, projekt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zadania projektowego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zadania projektowego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K1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zachowanie i aktywność na zajęciach, 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udziału w dyskusji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prace końcowe: projekty archiwizowane w formie papierowej; dziennik prowadzącego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projektu 80% + 20% ocena z aktywności na zajęciach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(14 godz./0,56 ECTS),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(2 godz./0,08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godz./0,64 ECTS</w:t>
            </w:r>
          </w:p>
          <w:p w:rsidR="00000000" w:rsidDel="00000000" w:rsidP="00000000" w:rsidRDefault="00000000" w:rsidRPr="00000000" w14:paraId="0000006B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(10 godz./0,4 ECTS),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(9 godz./0,36 ECTS),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projektu (15 godz./0,6 ECTS),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34 godz./1,36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14 godz.; konsultacjach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B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C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MAcBivNv3/cHuc2WbZqsaSybA==">CgMxLjA4AHIhMW04SWg1UGktZ1ZrUlFFQ2ZVVVVyTUpVYWg4R09wdTht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2024-11-25T18:57:00Z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