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Historia analizy i certyfikacji żywności/ History of food analysis and certification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 (0,64/0,36)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Dr hab. Monika Sujka,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Katedra Analizy i Oceny Jakości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przedstawienie rozwoju chemii na przestrzeni wieków w kontekście oceny składu żywności i walki z zafałszowaniami produktów spożywczych, zapoznanie z szeregiem ciekawostek z dziedziny analizy chemicznej, przedstawienie wkładu czołowych polskich i światowych naukowców w rozwój analityki żywności, zapoznanie z historią ustawodawstwa w zakresie jakości i bezpieczeństwa żywności oraz rozwojem instytucji zajmujących się certyfikacją żywności.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zna osiągnięcia chemii starożytnej i nowożytnej mającej wpływ na obecny kształt metod stosowanych w analizie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zna historię ustawodawstwa w zakresie jakości i bezpieczeństwa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samodzielnie posługuje się literaturą naukową i zasobami Internetu w celu pogłębienia wiedzy z zakresu historii analizy i certyfikacji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28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jest świadomy postępu w badaniach naukowych i ich znaczenia dla rozwoju gospodarczego.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BC2_W011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BC2_W06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BC2_U13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BC2_K02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Chemia; Metody oceny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Żywność a rozwój cywilizacji. Sposoby fałszowania żywności na przestrzeni dziejów i pierwsze przepisy prawne dotyczące norm w produkcji i handlu żywnością. Początki chemii - alchemia w Egipcie, Indiach i Chinach. Poglądy filozofów greckich na budowę materii. Rozwój alchemii arabskiej i europejskiej (od średniowiecza do oświecenia). Odkrycie nowych pierwiastków oraz związków chemicznych i rozwój aparatury pomiarowej. Początki chemii jako nauki. Rozwój analizy chemicznej w XVIII-XX. Dokonania polskich naukowców w zakresie metod analizy składników żywności. Historia instytucji certyfikujących żywność w Polsce, w krajach europejskich i USA.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ind w:left="451" w:hanging="33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William H. Brock, Historia chemii, Prószyński i S-ka, Warszawa 1999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ind w:left="451" w:hanging="33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Stanisław Kowalczyk. Prawo czystej żywności. Od Kodeksu Hammurabiego do Codex Alimentarius. Wydawnictwo SGH, Warszawa, 2014.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ind w:left="451" w:hanging="33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W. Higman. Historia żywności. Jak żywność zmieniała świat. Wydawnictwo Aletheia, Warszawa, 2012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ind w:left="451" w:hanging="33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Czasopisma branżowe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Wykład w formie prezentacji multimedialnej,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pisemne zaliczenie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prezentacji</w:t>
            </w:r>
          </w:p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K1 –</w:t>
            </w:r>
            <w:r w:rsidDel="00000000" w:rsidR="00000000" w:rsidRPr="00000000">
              <w:rPr>
                <w:i w:val="1"/>
                <w:rtl w:val="0"/>
              </w:rPr>
              <w:t xml:space="preserve">odpowiedzi ustne, udział w dyskusji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i w:val="1"/>
                <w:rtl w:val="0"/>
              </w:rPr>
              <w:t xml:space="preserve">praca zaliczeniowa archiwizowanie w formie papierowej, prezentacje archiwizowane w formie cyfrowej, dziennik prowadzącego.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końcowa = ocena z zaliczenia pisemnego 100%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(14 godz./0,56 ECTS),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(2 godz./0,08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16 godz./0,64 ECTS</w:t>
            </w:r>
          </w:p>
          <w:p w:rsidR="00000000" w:rsidDel="00000000" w:rsidP="00000000" w:rsidRDefault="00000000" w:rsidRPr="00000000" w14:paraId="00000061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zaliczenia (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godz./0,</w:t>
            </w: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</w:t>
            </w:r>
          </w:p>
          <w:p w:rsidR="00000000" w:rsidDel="00000000" w:rsidP="00000000" w:rsidRDefault="00000000" w:rsidRPr="00000000" w14:paraId="00000064">
            <w:pPr>
              <w:ind w:left="127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Łącznie 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 godz./1,0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rtl w:val="0"/>
              </w:rPr>
              <w:t xml:space="preserve">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udział w wykładach – 14 godz.; konsultacjach – 2 godz.;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0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E42C0F"/>
  </w:style>
  <w:style w:type="character" w:styleId="wrtext" w:customStyle="1">
    <w:name w:val="wrtext"/>
    <w:uiPriority w:val="99"/>
    <w:rsid w:val="00E42C0F"/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fxwIiKKg7E1iZSg/o7I/H9fhQ==">CgMxLjAyCGguZ2pkZ3hzOAByITFfbWZDN3R0N1ppTmtrbFp1RGwzc2JNYlppWEVIMWszZw==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2024-11-13T09:08:00Z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