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5605"/>
        <w:tblGridChange w:id="0">
          <w:tblGrid>
            <w:gridCol w:w="3681"/>
            <w:gridCol w:w="5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Nazwa modułu, także nazwa w języku angielskim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Metodologia badań przyrodniczych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Research methodology in the natural sciences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wykładowy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Rodzaj modułu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Poziom studiów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drugiego stopnia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Forma studiów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Rok studiów dla kierunku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Semestr dla kierunku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Liczba punktów ECTS z podziałem na kontaktowe/niekontaktowe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 (1,04 /0,96)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Tytuł naukowy/stopień naukowy, imię i nazwisko osoby odpowiedzialnej za moduł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Prof. dr hab. Jerzy Demetraki-Paleolog, prof.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Jednostka oferująca moduł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Katedra Ekofizjologii Bezkręgowców i Biologii Eksperymentalnej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Wypracowanie twórczego, ale krytycznego, opartego o zasady epistemologii i filozofii przyrody, podejścia do praw naukowych i metod badawczych stosowanych w biologii.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Wiedza: zna i rozumie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W1. podstawy epistemologii oraz podstawowy metodologiczny aparat pojęciowy dotyczący nauk przyrodniczych, a w szczególności wnioskowania i innych działań wiedzotwórczych.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W2. istotę podstawowych sporów metodologicznych dotyczących poznawania przyrody i formułowania praw naukowych tak w aspekcie historycznym jak i współczesnym.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Umiejętności: potrafi</w:t>
            </w:r>
          </w:p>
        </w:tc>
      </w:tr>
      <w:tr>
        <w:trPr>
          <w:cantSplit w:val="0"/>
          <w:trHeight w:val="109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U1. stosować wiedzę filozoficzną, w tym z zakresu metodologii nauk przyrodniczych, podczas poznawania przyrody, interpretowania wyników badań, formułowania hipotez, twierdzeń i teorii –patrząc krytycznie na osiągnięcia naukowe.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Kompetencje społeczne: jest gotów do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K1. Prezentowania twórczej, ale krytycznej postawy wobec działań wiedzotwórczych w naukach przyrodniczych, mając świadomość odpowiedzialności stojącej przed badaczem przyrody.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W1 i W2: BC2 _W13;       U1:  BC2 _U11;      K1: BC2 _K04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 dotyczy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Wymagania wstępne i dodatkowe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brak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Przedstawione będą główne przesłanki epistemologii, swoistość procesu poznania w naukach przyrodniczych i główne spory metodologiczne w tym zakresie. Uwzględniony zostanie aspekt historyczny i perspektywa filozoficzna, w szczególności filozofia przyrody. Rozważone zostaną różne sposoby weryfikacji prawdy oraz zasadności poglądów i teorii naukowych, uwzględniając analizę procesu zdobywania wiedzy i formułowania praw nauki dotyczących przyrody. Zawrócimy uwagę na krytyczne podchodzenie do różnego rodzaju twierdzeń i na proces rozwoju wiedzy biologicznej.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Wykaz literatury podstawowej i uzupełniającej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 Hellner, "Filozofia przyrody", wyd. Znak, Kraków 2007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Hajduk Z. Metodologia nauk przyrodniczych. RW KUL, Lublin 2001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Kuman P. Burkard F. P., Wiedemann F. Atlas Filozofii, Prószyński i ska, Wa-wa 1999. - dodatkowe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Wykład dyskusyjny, pisemne opracowania.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Moduł jest przygotowany do prowadzenia online.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W1, W2 – ocena pisemnego zadania końcowego. Ocena pisemnych opracowań cząstkowych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U1 – ocena pisemnego zadania końcowego. Ocena pisemnych opracowań cząstkowych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K1 – ocena pisemnego zadania końcowego 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Lista obecności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u w:val="single"/>
                <w:rtl w:val="0"/>
              </w:rPr>
              <w:t xml:space="preserve">SZCZEGÓŁOWE KRYTERIA PRZY OCENIE ZALICZENIA I PRAC KONTROLNYCH: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3,0 – W, 51%-60% wiedzy; U, potrafi zadowalająco zastosować wiedzę z zakresu modułu; K, zadowalająco formułuje własny pogląd i oceny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3,5 – W, 61%-70% wiedzy; U, potrafi zadowalająco zastosować wiedzę z zakresu tego modułu wraz z własną interpretacją; K zadowalająco formułuje i uzasadnia własny pogląd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4,0 – W, 71%-80% wiedzy; U, potrafi dobrze zastosować wiedzę z zakresu tego modułu wraz z własną interpretacją; K dobrze formułuje i uzasadnia własny pogląd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4,5 – W, 81%-90% wiedzy; U, potrafi b. dobrze zastosować wiedzę z zakresu tego modułu wraz z własną interpretacją; K, b. dobrze formułuje i uzasadnia własny pogląd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5,0 – W, 91-100% wiedzy; U, potrafi b. dobrze zastosować wiedzę z zakresu tego i innych modułów; K, b. dobrze formułuje i uzasadnia własny pogląd oraz potrafi go bronić w kontekście kontrargumentów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FORMY DOKUMENTOWANIA OSIĄGNIĘTYCH EFEKTÓW UCZENIA SIĘ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prace końcowe i cząstkowe  archiwizowanie w formie papierowej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Ocena końcowa = 40 % średnia arytmetyczna z ocen prac cząstkowych, 60% ocena zadania końcowego. Obecność na zajęciach wg. Regulaminu Studiów.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Warunki te są przedstawiane na pierwszych zajęciach z modułu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Bilans punktów 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Bilans godzin/pkt. ECTS: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(21 godz./0,84 ECTS)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konsultacje (5 godz./0,2 ECTS)</w:t>
            </w:r>
          </w:p>
          <w:p w:rsidR="00000000" w:rsidDel="00000000" w:rsidP="00000000" w:rsidRDefault="00000000" w:rsidRPr="00000000" w14:paraId="00000053">
            <w:pPr>
              <w:ind w:left="120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Łącznie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–   godz. 26 / 1,04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Niekontaktowe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120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- przygotowanie opracowań cząstkowych, studiowanie literatury i Internetu (17 godz./0,68 ECTS)</w:t>
            </w:r>
          </w:p>
          <w:p w:rsidR="00000000" w:rsidDel="00000000" w:rsidP="00000000" w:rsidRDefault="00000000" w:rsidRPr="00000000" w14:paraId="00000057">
            <w:pPr>
              <w:ind w:left="120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- przygotowanie zadania końcowego (7 godz./0,28 ECTS)</w:t>
            </w:r>
          </w:p>
          <w:p w:rsidR="00000000" w:rsidDel="00000000" w:rsidP="00000000" w:rsidRDefault="00000000" w:rsidRPr="00000000" w14:paraId="00000058">
            <w:pPr>
              <w:ind w:left="120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 Łącznie 24 godz. / 0,96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wykład (21 godz./0,84 ECTS)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konsultacje (5 godz./0,2 ECTS)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Łącznie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–   godz. 26 / 1,04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120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63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32FE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CD3047"/>
    <w:pPr>
      <w:ind w:left="720"/>
      <w:contextualSpacing w:val="1"/>
    </w:pPr>
  </w:style>
  <w:style w:type="paragraph" w:styleId="Tekstkomentarza">
    <w:name w:val="annotation text"/>
    <w:basedOn w:val="Normalny"/>
    <w:link w:val="TekstkomentarzaZnak"/>
    <w:uiPriority w:val="99"/>
    <w:unhideWhenUsed w:val="1"/>
    <w:rsid w:val="0083437D"/>
    <w:pPr>
      <w:spacing w:after="160"/>
    </w:pPr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F2295C"/>
    <w:pPr>
      <w:spacing w:after="0"/>
    </w:pPr>
    <w:rPr>
      <w:rFonts w:ascii="Times New Roman" w:cs="Times New Roman" w:eastAsia="Times New Roman" w:hAnsi="Times New Roman"/>
      <w:b w:val="1"/>
      <w:bCs w:val="1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F2295C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2295C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2295C"/>
    <w:rPr>
      <w:rFonts w:ascii="Segoe UI" w:cs="Segoe UI" w:eastAsia="Times New Roman" w:hAnsi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BA2E91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BA2E91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BA2E91"/>
    <w:rPr>
      <w:vertAlign w:val="superscript"/>
    </w:rPr>
  </w:style>
  <w:style w:type="paragraph" w:styleId="Poprawka">
    <w:name w:val="Revision"/>
    <w:hidden w:val="1"/>
    <w:uiPriority w:val="99"/>
    <w:semiHidden w:val="1"/>
    <w:rsid w:val="00D00A9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hps" w:customStyle="1">
    <w:name w:val="hps"/>
    <w:uiPriority w:val="99"/>
    <w:rsid w:val="00944F4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+vPVUP/7zPH9oSmFYub8F5Uplw==">CgMxLjA4AHIhMUk4em9mRDZzYXNKQXdoeVk1Mjdyal9FeS1LY0lvZG9t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2024-11-13T18:03:00Z</dcterms:created>
  <dc:creator>1</dc:creator>
</cp:coreProperties>
</file>