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FD" w:rsidRDefault="002F39D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22CFD" w:rsidRDefault="002F39DD">
      <w:pPr>
        <w:rPr>
          <w:b/>
        </w:rPr>
      </w:pPr>
      <w:r>
        <w:rPr>
          <w:b/>
        </w:rPr>
        <w:t>Karta opisu zajęć (sylabus)</w:t>
      </w:r>
    </w:p>
    <w:p w:rsidR="00322CFD" w:rsidRDefault="00322CFD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 xml:space="preserve">Nazwa kierunku studiów </w:t>
            </w:r>
          </w:p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r>
              <w:t>Bezpieczeństwo i certyfikacja żywności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Nowe rozwiązania w opakowalnictwie żywności</w:t>
            </w:r>
          </w:p>
          <w:p w:rsidR="00322CFD" w:rsidRDefault="002F39DD">
            <w:r>
              <w:t xml:space="preserve">New </w:t>
            </w:r>
            <w:proofErr w:type="spellStart"/>
            <w:r>
              <w:t>solutions</w:t>
            </w:r>
            <w:proofErr w:type="spellEnd"/>
            <w:r>
              <w:t xml:space="preserve"> in </w:t>
            </w:r>
            <w:proofErr w:type="spellStart"/>
            <w:r>
              <w:t>packaging</w:t>
            </w:r>
            <w:proofErr w:type="spellEnd"/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 xml:space="preserve">Język wykładowy </w:t>
            </w:r>
          </w:p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 xml:space="preserve">Rodzaj modułu </w:t>
            </w:r>
          </w:p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proofErr w:type="gramStart"/>
            <w:r>
              <w:t>obowiązkowy</w:t>
            </w:r>
            <w:proofErr w:type="gramEnd"/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Forma studiów</w:t>
            </w:r>
          </w:p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proofErr w:type="gramStart"/>
            <w:r>
              <w:t>niestacjonarne</w:t>
            </w:r>
            <w:proofErr w:type="gramEnd"/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II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4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2 (0,8/1,2)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Dr hab. inż. Monika Kędzierska-Matysek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Jednostka oferująca moduł</w:t>
            </w:r>
          </w:p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</w:t>
            </w:r>
          </w:p>
          <w:p w:rsidR="00322CFD" w:rsidRDefault="002F39DD">
            <w:r>
              <w:t>Produktów Zwierzęcych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Cel modułu</w:t>
            </w:r>
          </w:p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r>
              <w:t>Celem modułu jest zapoznanie studentów z nowymi rozwiązaniami w opakowalnictwie produktów żywnościowych, regulacjami prawnymi dotyczącymi ich bezpieczeństwa. Wskazanie ich zastosowań oraz zalet i ograniczeń.</w:t>
            </w:r>
          </w:p>
        </w:tc>
      </w:tr>
      <w:tr w:rsidR="00322CF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22CFD" w:rsidRDefault="002F39D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 xml:space="preserve">Wiedza: 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 xml:space="preserve">1. 1.Ma wiedzę z zakresu </w:t>
            </w:r>
            <w:proofErr w:type="spellStart"/>
            <w:r>
              <w:t>ekoinowacji</w:t>
            </w:r>
            <w:proofErr w:type="spellEnd"/>
            <w:r>
              <w:t xml:space="preserve">, nowoczesnych rozwiązań w opakowalnictwie żywności oraz ich </w:t>
            </w:r>
            <w:proofErr w:type="gramStart"/>
            <w:r>
              <w:t>wpływu na jakość</w:t>
            </w:r>
            <w:proofErr w:type="gramEnd"/>
            <w:r>
              <w:t xml:space="preserve"> produktu końcowego 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2.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…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Umiejętności: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 xml:space="preserve">1.Posiada umiejętność doboru innowacyjnych </w:t>
            </w:r>
            <w:proofErr w:type="gramStart"/>
            <w:r>
              <w:t>opakowań  dla</w:t>
            </w:r>
            <w:proofErr w:type="gramEnd"/>
            <w:r>
              <w:t xml:space="preserve"> wybranych produktów żywnościowych, tak aby zachować ich wysoką jakość w czasie przechowywania.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2. Potrafi przygotować i przedstawić prezentację wykonanego projektu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 xml:space="preserve">3. Potrafi wybrać i zastosować dla produktów żywnościowych konwencjonalne materiały opakowaniowe </w:t>
            </w:r>
          </w:p>
        </w:tc>
      </w:tr>
      <w:tr w:rsidR="00322CF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2CFD" w:rsidRDefault="00322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r>
              <w:t>Kompetencje społeczne:</w:t>
            </w:r>
          </w:p>
        </w:tc>
      </w:tr>
      <w:tr w:rsidR="00B040CB" w:rsidTr="000B0C4B">
        <w:trPr>
          <w:trHeight w:val="1390"/>
        </w:trPr>
        <w:tc>
          <w:tcPr>
            <w:tcW w:w="3942" w:type="dxa"/>
            <w:vMerge/>
            <w:shd w:val="clear" w:color="auto" w:fill="auto"/>
          </w:tcPr>
          <w:p w:rsidR="00B040CB" w:rsidRDefault="00B0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040CB" w:rsidRDefault="00B040CB" w:rsidP="00B040CB">
            <w:r>
              <w:t xml:space="preserve">1. Jest świadomy postępu w opakowalnictwie i jego znaczenia dla rozwoju gospodarczego oraz ma poczucie odpowiedzialności za produkcję bezpiecznej żywności w aspekcie zdrowia człowieka 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pPr>
              <w:jc w:val="both"/>
            </w:pPr>
            <w:r>
              <w:t>Pakowanie i znakowanie żywności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 xml:space="preserve">Treści programowe modułu </w:t>
            </w:r>
          </w:p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r>
              <w:t>Przedstawienie wiedzy o nowych rozwiązaniach w opakowalnictwie produktów żywnościowych.  Innowacje konstrukcyjne i technologiczne: Opakowania aktywne, inteligentne, interaktywne. Innowacje w systemach pakowania „</w:t>
            </w:r>
            <w:proofErr w:type="spellStart"/>
            <w:r>
              <w:t>Bag</w:t>
            </w:r>
            <w:proofErr w:type="spellEnd"/>
            <w:r>
              <w:t xml:space="preserve"> in Box”, aseptyczne, MAP, CAP. Systemy pakowania w wysokociśnieniowej, radiacyjnej technice utrwalania produktów. Innowacyjne materiałowe: </w:t>
            </w:r>
            <w:proofErr w:type="spellStart"/>
            <w:r>
              <w:t>biotworzywa</w:t>
            </w:r>
            <w:proofErr w:type="spellEnd"/>
            <w:r>
              <w:t xml:space="preserve">, nanokompozyty, materiały z recyklingu i hybrydowe. </w:t>
            </w:r>
            <w:proofErr w:type="spellStart"/>
            <w:r>
              <w:t>Ekoinowacje</w:t>
            </w:r>
            <w:proofErr w:type="spellEnd"/>
            <w:r>
              <w:t xml:space="preserve">. Biodegradacja. Podstawy doboru opakowań z elementami </w:t>
            </w:r>
            <w:proofErr w:type="gramStart"/>
            <w:r>
              <w:t>innowacyjnymi  do</w:t>
            </w:r>
            <w:proofErr w:type="gramEnd"/>
            <w:r>
              <w:t xml:space="preserve"> pakowania produktów spożywczych. Elementy projektowania opakowania. Trendy w opakowalnictwie żywności. Akty prawne.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pPr>
              <w:rPr>
                <w:u w:val="single"/>
              </w:rPr>
            </w:pPr>
            <w:r>
              <w:rPr>
                <w:u w:val="single"/>
              </w:rPr>
              <w:t>Literatura wymagana:</w:t>
            </w:r>
          </w:p>
          <w:p w:rsidR="00322CFD" w:rsidRDefault="002F39DD">
            <w:proofErr w:type="spellStart"/>
            <w:r>
              <w:t>Ankiel</w:t>
            </w:r>
            <w:proofErr w:type="spellEnd"/>
            <w:r>
              <w:t xml:space="preserve"> M., Wojciechowska P., </w:t>
            </w:r>
            <w:proofErr w:type="spellStart"/>
            <w:r>
              <w:t>Wiszumirska</w:t>
            </w:r>
            <w:proofErr w:type="spellEnd"/>
            <w:r>
              <w:t xml:space="preserve"> K. Innowacyjne opakowania na rynku produktów konsumpcyjnych. Wydawnictwo UEP, Poznań 2021</w:t>
            </w:r>
          </w:p>
          <w:p w:rsidR="00322CFD" w:rsidRDefault="002F39DD">
            <w:r>
              <w:t xml:space="preserve">Lisińska-Kuśnierz M., </w:t>
            </w:r>
            <w:proofErr w:type="spellStart"/>
            <w:r>
              <w:t>Ucherek</w:t>
            </w:r>
            <w:proofErr w:type="spellEnd"/>
            <w:r>
              <w:t xml:space="preserve"> M.: Postęp techniczny w opakowalnictwie. Wydawnictwo Akademii Ekonomicznej w Krakowie, 2003.</w:t>
            </w:r>
          </w:p>
          <w:p w:rsidR="00322CFD" w:rsidRDefault="002F39DD">
            <w:r>
              <w:t xml:space="preserve">Panfil-Kuncewicz H., Kuncewicz A., </w:t>
            </w:r>
            <w:proofErr w:type="spellStart"/>
            <w:r>
              <w:t>Juśkiewicz</w:t>
            </w:r>
            <w:proofErr w:type="spellEnd"/>
            <w:r>
              <w:t xml:space="preserve"> M.: Wybrane zagadnienia z opakowalnictwa żywności. Wydawnictwo Uniwersytetu Warmińsko-Mazurskiego w Olsztynie, 2012.</w:t>
            </w:r>
          </w:p>
          <w:p w:rsidR="00322CFD" w:rsidRDefault="002F39DD">
            <w:pPr>
              <w:rPr>
                <w:u w:val="single"/>
              </w:rPr>
            </w:pPr>
            <w:r>
              <w:rPr>
                <w:u w:val="single"/>
              </w:rPr>
              <w:t>Literatura uzupełniająca:</w:t>
            </w:r>
          </w:p>
          <w:p w:rsidR="00322CFD" w:rsidRDefault="002F39DD">
            <w:r>
              <w:t>Farmer N.: Innowacje w opakowaniach żywności i napojów. Rynki. Materiały. Technologie. PWN Warszawa, 2016.</w:t>
            </w:r>
          </w:p>
          <w:p w:rsidR="00322CFD" w:rsidRDefault="002F39DD">
            <w:r>
              <w:t>Publikacje i akty prawne.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pPr>
              <w:jc w:val="both"/>
            </w:pPr>
            <w:r>
              <w:t xml:space="preserve">Wykład - pokaz multimedialny </w:t>
            </w:r>
          </w:p>
          <w:p w:rsidR="00322CFD" w:rsidRDefault="002F39DD">
            <w:pPr>
              <w:jc w:val="both"/>
            </w:pPr>
            <w:r>
              <w:t xml:space="preserve">Ćwiczenia audytoryjne –pokaz multimedialny, </w:t>
            </w:r>
          </w:p>
          <w:p w:rsidR="00322CFD" w:rsidRDefault="002F39DD">
            <w:r>
              <w:t>Ćwiczenia laboratoryjne – wykonanie projektu i jego prezentacja, dyskusja</w:t>
            </w:r>
          </w:p>
          <w:p w:rsidR="00322CFD" w:rsidRDefault="002F39DD">
            <w:proofErr w:type="gramStart"/>
            <w:r>
              <w:t>konsultacje</w:t>
            </w:r>
            <w:proofErr w:type="gramEnd"/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22CFD" w:rsidRDefault="002F39DD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322CFD" w:rsidRDefault="002F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W1– </w:t>
            </w:r>
            <w:r>
              <w:rPr>
                <w:color w:val="000000"/>
                <w:sz w:val="22"/>
                <w:szCs w:val="22"/>
              </w:rPr>
              <w:t xml:space="preserve">pisemny egzamin / ocena egzaminu pisemnego, ocena ze sprawdzianu, ocena zadania projektowego, </w:t>
            </w:r>
          </w:p>
          <w:p w:rsidR="00322CFD" w:rsidRDefault="002F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U1, U2, U3 –</w:t>
            </w:r>
            <w:r>
              <w:rPr>
                <w:color w:val="000000"/>
                <w:sz w:val="22"/>
                <w:szCs w:val="22"/>
              </w:rPr>
              <w:t>ocena z przedstawienia przygotowanego zadania projektowego</w:t>
            </w:r>
          </w:p>
          <w:p w:rsidR="00322CFD" w:rsidRDefault="002F39DD">
            <w:r>
              <w:t xml:space="preserve">K1 – </w:t>
            </w:r>
            <w:r>
              <w:rPr>
                <w:sz w:val="22"/>
                <w:szCs w:val="22"/>
              </w:rPr>
              <w:t>ocena udziału w dyskusji, ocena pracy w grupie i pracy indywidualnej</w:t>
            </w:r>
          </w:p>
          <w:p w:rsidR="00322CFD" w:rsidRDefault="00322CFD">
            <w:pPr>
              <w:rPr>
                <w:color w:val="000000"/>
              </w:rPr>
            </w:pPr>
          </w:p>
          <w:p w:rsidR="00322CFD" w:rsidRDefault="002F39DD"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egzaminy i sprawdziany archiwizowanie w formie papierowej /lub cyfrowej; projekty archiwizowane w formie papierowej /lub </w:t>
            </w:r>
            <w:proofErr w:type="gramStart"/>
            <w:r>
              <w:rPr>
                <w:sz w:val="22"/>
                <w:szCs w:val="22"/>
              </w:rPr>
              <w:t>cyfrowej,  dziennik</w:t>
            </w:r>
            <w:proofErr w:type="gramEnd"/>
            <w:r>
              <w:rPr>
                <w:sz w:val="22"/>
                <w:szCs w:val="22"/>
              </w:rPr>
              <w:t xml:space="preserve"> prowadzącego, </w:t>
            </w:r>
          </w:p>
          <w:p w:rsidR="00322CFD" w:rsidRDefault="00322CFD"/>
          <w:p w:rsidR="00322CFD" w:rsidRDefault="002F39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322CFD" w:rsidRDefault="002F3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22CFD" w:rsidRDefault="002F3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22CFD" w:rsidRDefault="002F3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322CFD" w:rsidRDefault="002F3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322CFD" w:rsidRDefault="002F3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22CFD">
        <w:tc>
          <w:tcPr>
            <w:tcW w:w="3942" w:type="dxa"/>
            <w:shd w:val="clear" w:color="auto" w:fill="auto"/>
          </w:tcPr>
          <w:p w:rsidR="00322CFD" w:rsidRDefault="002F39DD">
            <w:r>
              <w:lastRenderedPageBreak/>
              <w:t>Elementy i wagi mające wpływ na ocenę końcową</w:t>
            </w:r>
          </w:p>
          <w:p w:rsidR="00322CFD" w:rsidRDefault="00322CFD"/>
          <w:p w:rsidR="00322CFD" w:rsidRDefault="00322CFD"/>
        </w:tc>
        <w:tc>
          <w:tcPr>
            <w:tcW w:w="5344" w:type="dxa"/>
            <w:shd w:val="clear" w:color="auto" w:fill="auto"/>
          </w:tcPr>
          <w:p w:rsidR="00322CFD" w:rsidRDefault="002F39DD">
            <w:pPr>
              <w:jc w:val="both"/>
              <w:rPr>
                <w:i/>
              </w:rPr>
            </w:pPr>
            <w:r>
              <w:rPr>
                <w:i/>
              </w:rPr>
              <w:t>Ocena końcowa = ocena z egzaminu pisemnego 50% + 50% ocena z ćwiczeń.</w:t>
            </w:r>
          </w:p>
          <w:p w:rsidR="00322CFD" w:rsidRDefault="00322CFD">
            <w:pPr>
              <w:jc w:val="both"/>
              <w:rPr>
                <w:i/>
              </w:rPr>
            </w:pPr>
          </w:p>
          <w:p w:rsidR="00322CFD" w:rsidRDefault="002F39DD">
            <w:pPr>
              <w:jc w:val="both"/>
              <w:rPr>
                <w:i/>
              </w:rPr>
            </w:pPr>
            <w:r>
              <w:rPr>
                <w:i/>
              </w:rPr>
              <w:t>Ocena z ćwiczeń = ocena ze sprawdzianu 50% + ocena z opracowania i prezentacji zadania projektowego 40%+ ocena z pracy, aktywności 10%</w:t>
            </w:r>
          </w:p>
          <w:p w:rsidR="00322CFD" w:rsidRDefault="00322CFD">
            <w:pPr>
              <w:jc w:val="both"/>
              <w:rPr>
                <w:i/>
                <w:color w:val="FF0000"/>
              </w:rPr>
            </w:pPr>
          </w:p>
          <w:p w:rsidR="00322CFD" w:rsidRDefault="002F39D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322CFD">
        <w:trPr>
          <w:trHeight w:val="2324"/>
        </w:trPr>
        <w:tc>
          <w:tcPr>
            <w:tcW w:w="3942" w:type="dxa"/>
            <w:shd w:val="clear" w:color="auto" w:fill="auto"/>
          </w:tcPr>
          <w:p w:rsidR="00322CFD" w:rsidRDefault="002F39DD">
            <w:pPr>
              <w:jc w:val="both"/>
            </w:pPr>
            <w:r>
              <w:t>Bilans punktów ECTS</w:t>
            </w:r>
          </w:p>
          <w:p w:rsidR="00322CFD" w:rsidRDefault="00322CFD">
            <w:pPr>
              <w:jc w:val="both"/>
            </w:pPr>
          </w:p>
          <w:p w:rsidR="00322CFD" w:rsidRDefault="00322CF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22CFD" w:rsidRDefault="002F39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322CFD" w:rsidRDefault="002F39DD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322CFD" w:rsidRDefault="002F3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(7 godz./0,28 ECTS), </w:t>
            </w:r>
          </w:p>
          <w:p w:rsidR="00322CFD" w:rsidRDefault="002F3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(7 godz./0,28 ECTS), </w:t>
            </w:r>
          </w:p>
          <w:p w:rsidR="00322CFD" w:rsidRDefault="002F3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godz./0,16 ECTS), </w:t>
            </w:r>
          </w:p>
          <w:p w:rsidR="00322CFD" w:rsidRDefault="002F3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godz./0,08 ECTS).  </w:t>
            </w:r>
          </w:p>
          <w:p w:rsidR="00322CFD" w:rsidRDefault="002F39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Łącznie – 20 godz./0,8 ECTS</w:t>
            </w:r>
          </w:p>
          <w:p w:rsidR="00322CFD" w:rsidRDefault="00322CFD">
            <w:pPr>
              <w:ind w:left="487"/>
              <w:rPr>
                <w:b/>
                <w:color w:val="000000"/>
              </w:rPr>
            </w:pPr>
          </w:p>
          <w:p w:rsidR="00322CFD" w:rsidRDefault="002F39DD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322CFD" w:rsidRDefault="002F3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(16 godz./0,64 ECTS),</w:t>
            </w:r>
          </w:p>
          <w:p w:rsidR="00322CFD" w:rsidRDefault="002F3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(4 godz./0,16 ECTS),</w:t>
            </w:r>
          </w:p>
          <w:p w:rsidR="00322CFD" w:rsidRDefault="002F3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(10 godz./0,4),</w:t>
            </w:r>
          </w:p>
          <w:p w:rsidR="00322CFD" w:rsidRDefault="002F39DD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30 godz./1,2 ECTS</w:t>
            </w:r>
          </w:p>
        </w:tc>
      </w:tr>
      <w:tr w:rsidR="00322CFD">
        <w:trPr>
          <w:trHeight w:val="718"/>
        </w:trPr>
        <w:tc>
          <w:tcPr>
            <w:tcW w:w="3942" w:type="dxa"/>
            <w:shd w:val="clear" w:color="auto" w:fill="auto"/>
          </w:tcPr>
          <w:p w:rsidR="00322CFD" w:rsidRDefault="002F39D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22CFD" w:rsidRPr="00A31C16" w:rsidRDefault="002F39DD">
            <w:pPr>
              <w:jc w:val="both"/>
            </w:pPr>
            <w:proofErr w:type="gramStart"/>
            <w:r w:rsidRPr="00A31C16">
              <w:rPr>
                <w:color w:val="000000"/>
              </w:rPr>
              <w:t>udział</w:t>
            </w:r>
            <w:proofErr w:type="gramEnd"/>
            <w:r w:rsidRPr="00A31C16">
              <w:rPr>
                <w:color w:val="000000"/>
              </w:rPr>
              <w:t xml:space="preserve"> w wykładach – 7 godz.; w ćwiczeniach – 7 godz.; konsultacjach – 4 godz.; w egzaminie – 2 godz.</w:t>
            </w:r>
          </w:p>
        </w:tc>
      </w:tr>
      <w:tr w:rsidR="00B040CB">
        <w:trPr>
          <w:trHeight w:val="718"/>
        </w:trPr>
        <w:tc>
          <w:tcPr>
            <w:tcW w:w="3942" w:type="dxa"/>
            <w:shd w:val="clear" w:color="auto" w:fill="auto"/>
          </w:tcPr>
          <w:p w:rsidR="00B040CB" w:rsidRDefault="00B040CB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040CB" w:rsidRDefault="00B040CB" w:rsidP="00767582">
            <w:pPr>
              <w:jc w:val="both"/>
            </w:pPr>
            <w:r>
              <w:t>Kod efektu modułowego – kod efektu kierunkowego</w:t>
            </w:r>
          </w:p>
          <w:p w:rsidR="00B040CB" w:rsidRDefault="00B040CB" w:rsidP="00767582">
            <w:pPr>
              <w:jc w:val="both"/>
            </w:pPr>
            <w:r>
              <w:t>W1 –BC2 _W09</w:t>
            </w:r>
          </w:p>
          <w:p w:rsidR="00B040CB" w:rsidRDefault="00B040CB" w:rsidP="00767582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BC2 _U10</w:t>
            </w:r>
          </w:p>
          <w:p w:rsidR="00B040CB" w:rsidRDefault="00B040CB" w:rsidP="00767582">
            <w:pPr>
              <w:jc w:val="both"/>
            </w:pPr>
            <w:r>
              <w:t>U2- BC2 _U13</w:t>
            </w:r>
          </w:p>
          <w:p w:rsidR="00B040CB" w:rsidRDefault="00B040CB" w:rsidP="00767582">
            <w:pPr>
              <w:jc w:val="both"/>
            </w:pPr>
            <w:proofErr w:type="gramStart"/>
            <w:r>
              <w:t>U3 –  BC</w:t>
            </w:r>
            <w:proofErr w:type="gramEnd"/>
            <w:r>
              <w:t>2_U04</w:t>
            </w:r>
          </w:p>
          <w:p w:rsidR="00B040CB" w:rsidRDefault="00B040CB" w:rsidP="00767582">
            <w:pPr>
              <w:jc w:val="both"/>
            </w:pPr>
            <w:r>
              <w:t>K1- BC2 _K02</w:t>
            </w:r>
          </w:p>
          <w:p w:rsidR="00B040CB" w:rsidRDefault="00B040CB" w:rsidP="00767582">
            <w:pPr>
              <w:jc w:val="both"/>
            </w:pPr>
          </w:p>
          <w:p w:rsidR="00B040CB" w:rsidRDefault="00B040CB" w:rsidP="00767582">
            <w:pPr>
              <w:jc w:val="both"/>
            </w:pPr>
            <w:r>
              <w:t>Kod efektu modułowe</w:t>
            </w:r>
            <w:bookmarkStart w:id="0" w:name="_GoBack"/>
            <w:bookmarkEnd w:id="0"/>
            <w:r>
              <w:t>go – kod efektu inżynierskiego</w:t>
            </w:r>
          </w:p>
          <w:p w:rsidR="00B040CB" w:rsidRDefault="00B040CB" w:rsidP="00767582">
            <w:pPr>
              <w:jc w:val="both"/>
            </w:pPr>
            <w:r>
              <w:t>U3 – InzBC_U03</w:t>
            </w:r>
          </w:p>
        </w:tc>
      </w:tr>
    </w:tbl>
    <w:p w:rsidR="00322CFD" w:rsidRDefault="00322CFD"/>
    <w:p w:rsidR="00322CFD" w:rsidRDefault="00322CFD"/>
    <w:p w:rsidR="00322CFD" w:rsidRDefault="00322CFD"/>
    <w:p w:rsidR="00322CFD" w:rsidRDefault="00322CFD"/>
    <w:p w:rsidR="00322CFD" w:rsidRDefault="00322CFD">
      <w:pPr>
        <w:rPr>
          <w:i/>
        </w:rPr>
      </w:pPr>
    </w:p>
    <w:p w:rsidR="00322CFD" w:rsidRDefault="00322CFD"/>
    <w:p w:rsidR="00322CFD" w:rsidRDefault="00322CFD"/>
    <w:sectPr w:rsidR="00322CF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DD" w:rsidRDefault="002F39DD">
      <w:r>
        <w:separator/>
      </w:r>
    </w:p>
  </w:endnote>
  <w:endnote w:type="continuationSeparator" w:id="0">
    <w:p w:rsidR="002F39DD" w:rsidRDefault="002F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FD" w:rsidRDefault="002F39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C1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31C16">
      <w:rPr>
        <w:noProof/>
        <w:color w:val="000000"/>
      </w:rPr>
      <w:t>4</w:t>
    </w:r>
    <w:r>
      <w:rPr>
        <w:color w:val="000000"/>
      </w:rPr>
      <w:fldChar w:fldCharType="end"/>
    </w:r>
  </w:p>
  <w:p w:rsidR="00322CFD" w:rsidRDefault="00322C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DD" w:rsidRDefault="002F39DD">
      <w:r>
        <w:separator/>
      </w:r>
    </w:p>
  </w:footnote>
  <w:footnote w:type="continuationSeparator" w:id="0">
    <w:p w:rsidR="002F39DD" w:rsidRDefault="002F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FD" w:rsidRDefault="00322C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C79"/>
    <w:multiLevelType w:val="multilevel"/>
    <w:tmpl w:val="734CC29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DEE6D99"/>
    <w:multiLevelType w:val="multilevel"/>
    <w:tmpl w:val="BA70E5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2CFD"/>
    <w:rsid w:val="002F39DD"/>
    <w:rsid w:val="00322CFD"/>
    <w:rsid w:val="00A31C16"/>
    <w:rsid w:val="00B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923A1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923A1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/4HzN5d8TD4gA6y0LZT5MfntA==">CgMxLjA4AHIhMVQxb3RmMnY4dzBBNmxQLUUwdi14UkZVcUxsdHY3VFRx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5392</Characters>
  <Application>Microsoft Office Word</Application>
  <DocSecurity>0</DocSecurity>
  <Lines>44</Lines>
  <Paragraphs>12</Paragraphs>
  <ScaleCrop>false</ScaleCrop>
  <Company>Microsoft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2024-11-06T21:03:00Z</dcterms:created>
  <dcterms:modified xsi:type="dcterms:W3CDTF">2024-12-04T13:42:00Z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