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Karta opisu zajęć (sylabus)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43"/>
        <w:gridCol w:w="6343"/>
        <w:tblGridChange w:id="0">
          <w:tblGrid>
            <w:gridCol w:w="2943"/>
            <w:gridCol w:w="634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Nazwa kierunku studiów 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Bezpieczeństwo i certyfikacja żywności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Nazwa modułu, także nazwa w języku angielskim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Urzędowe nadzory nad bezpieczeństwem żywności 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The official controls on food safety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Język wykładowy 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polski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Rodzaj modułu 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obowiązkowy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Poziom studiów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drugiego stopnia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Forma studiów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niestacjonarne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Rok studiów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II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Semestr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Liczba punktów ECTS z podziałem na kontaktowe/niekontaktowe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2 (1,00 /1,00)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Tytuł naukowy/stopień naukowy, imię i nazwisko osoby odpowiedzialnej za moduł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dr n. wet. Zbigniew Bełkot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Jednostka oferująca moduł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Katedra Higieny Żywności Zwierzęcego Pochodzenia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Cel modułu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Opanowanie przez studentów wiedzy i umiejętności w zakresie urzędowego nadzoru nad żywnością w Polsce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2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Efekty uczenia się dla modułu to opis zasobu wiedzy, umiejętności i kompetencji społecznych, które student osiągnie po zrealizowaniu zajęć.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Wiedza: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W1. Absolwent zna i rozumie zasady oceny i nadzoru rynku produktów żywnościowych w obszarze obowiązkowym i dobrowolnym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W2.  Absolwent zna i rozumie obowiązujące przepisy prawa żywnościowego, system identyfikowalności oraz zasady funkcjonowania urzędowych nadzorów nad bezpieczeństwem żywności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W3.  Absolwent zna i rozumie metody i narzędzia stosowane w celu rozwiązywania zadań z zakresu zapewnienia i zarządzania bezpieczeństwem i jakością żywności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Umiejętności: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U1. Absolwent potrafi ocenić jakość żywności pod kątem jej bezpieczeństwa dla zdrowia człowieka.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U2. Absolwent potrafi samodzielnie zastosować odpowiednie metody i narzędzia jakości do analizy funkcjonowania systemów oraz rozwiązywania typowych problemów z zakresu bezpieczeństwa żywności.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U3. Absolwent potrafi</w:t>
            </w:r>
            <w:r w:rsidDel="00000000" w:rsidR="00000000" w:rsidRPr="00000000">
              <w:rPr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samodzielnie identyfikować potencjalne zagrożenia oraz dokonać ich oceny i przeprowadzić analizę ryzyka na etapie produkcji podstawowej, w przemyśle rolno-spożywczym i gastronomii oraz wprowadzić odpowiednie działania w celu ich wyeliminowania lub ograniczenia.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Kompetencje społeczne: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K1. Absolwent jest gotów do stałego uzupełniania wiedzy i samodoskonalenia w zakresie przepisów prawa żywnościowego, standardów jakościowych, metod oceny jakości żywności oraz stosowanych metod i narzędzi weryfikacji, potrafiąc jednocześnie zorganizować proces uczenia się innych osób.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K2. Absolwent jest gotów do pracy zespołowej podczas realizowania zadań przewidzianych programem studiów; pełni różne funkcje, określa priorytety oraz umie oszacować czas potrzebny na realizację zleconego zadania i jego etapów.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K3. Absolwent jest gotów do działań w sposób przedsiębiorczy, racjonalny i zgodny ze zdobytą wiedzą. Jest kreatywny w poszukiwaniu nowych zastosowań znanych metod i narzędzi w rozwiązaniu problemów naukowych i zawodowych.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Odniesienie modułowych efektów uczenia się do kierunkowych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Kod efektu modułowego – kod efektu kierunkowego</w:t>
            </w:r>
          </w:p>
          <w:p w:rsidR="00000000" w:rsidDel="00000000" w:rsidP="00000000" w:rsidRDefault="00000000" w:rsidRPr="00000000" w14:paraId="0000003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W1 - BC2_W01, W02, W03, W07</w:t>
            </w:r>
          </w:p>
          <w:p w:rsidR="00000000" w:rsidDel="00000000" w:rsidP="00000000" w:rsidRDefault="00000000" w:rsidRPr="00000000" w14:paraId="0000003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W2 – BC2_W04, W05, W06, W11</w:t>
            </w:r>
          </w:p>
          <w:p w:rsidR="00000000" w:rsidDel="00000000" w:rsidP="00000000" w:rsidRDefault="00000000" w:rsidRPr="00000000" w14:paraId="0000004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W3 -  BC2_W08, W12, W13</w:t>
            </w:r>
          </w:p>
          <w:p w:rsidR="00000000" w:rsidDel="00000000" w:rsidP="00000000" w:rsidRDefault="00000000" w:rsidRPr="00000000" w14:paraId="0000004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U1 –  BC2_U01, U02, U04</w:t>
            </w:r>
          </w:p>
          <w:p w:rsidR="00000000" w:rsidDel="00000000" w:rsidP="00000000" w:rsidRDefault="00000000" w:rsidRPr="00000000" w14:paraId="0000004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U2 -  BC2_U03, U06, U07</w:t>
            </w:r>
          </w:p>
          <w:p w:rsidR="00000000" w:rsidDel="00000000" w:rsidP="00000000" w:rsidRDefault="00000000" w:rsidRPr="00000000" w14:paraId="0000004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U3 – BC2_U08, U09, U12, U13</w:t>
            </w:r>
          </w:p>
          <w:p w:rsidR="00000000" w:rsidDel="00000000" w:rsidP="00000000" w:rsidRDefault="00000000" w:rsidRPr="00000000" w14:paraId="0000004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K1 – BC2_K01, K02</w:t>
            </w:r>
          </w:p>
          <w:p w:rsidR="00000000" w:rsidDel="00000000" w:rsidP="00000000" w:rsidRDefault="00000000" w:rsidRPr="00000000" w14:paraId="0000004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K2 – BC2_K03</w:t>
            </w:r>
          </w:p>
          <w:p w:rsidR="00000000" w:rsidDel="00000000" w:rsidP="00000000" w:rsidRDefault="00000000" w:rsidRPr="00000000" w14:paraId="0000004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K3 – BC2_K04 </w:t>
            </w:r>
          </w:p>
          <w:p w:rsidR="00000000" w:rsidDel="00000000" w:rsidP="00000000" w:rsidRDefault="00000000" w:rsidRPr="00000000" w14:paraId="0000004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Odniesienie modułowych efektów uczenia się do efektów inżynierskich (jeżeli dotyczy)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Nie dotyczy</w:t>
            </w:r>
          </w:p>
          <w:p w:rsidR="00000000" w:rsidDel="00000000" w:rsidP="00000000" w:rsidRDefault="00000000" w:rsidRPr="00000000" w14:paraId="0000004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Wymagania wstępne i dodatkowe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Treści programowe modułu </w:t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Istotą modułu kształcenia jest zapoznanie studentów z: a) z prawnymi uwarunkowaniami i formami urzędowych kontroli żywności w Polsce; b) strukturą i funkcjonowaniem inspekcji sprawujących nadzór na żywnością; c) zasadami i sposobami przeprowadzania urzędowych kontroli żywności; d) zasadami i funkcjonowaniem systemów zapewniających jakość żywności </w:t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Wykaz literatury podstawowej i uzupełniającej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ind w:left="2" w:firstLine="0"/>
              <w:rPr/>
            </w:pPr>
            <w:r w:rsidDel="00000000" w:rsidR="00000000" w:rsidRPr="00000000">
              <w:rPr>
                <w:rtl w:val="0"/>
              </w:rPr>
              <w:t xml:space="preserve">1.Rajchert D. Nowak D. (red). - Jakość i bezpieczeństwo żywności. Wyd. SGGW, Warszawa 2006</w:t>
            </w:r>
          </w:p>
          <w:p w:rsidR="00000000" w:rsidDel="00000000" w:rsidP="00000000" w:rsidRDefault="00000000" w:rsidRPr="00000000" w14:paraId="00000053">
            <w:pPr>
              <w:ind w:left="2" w:firstLine="0"/>
              <w:rPr/>
            </w:pPr>
            <w:r w:rsidDel="00000000" w:rsidR="00000000" w:rsidRPr="00000000">
              <w:rPr>
                <w:rtl w:val="0"/>
              </w:rPr>
              <w:t xml:space="preserve">2.Kołożyn-Krajewska D., Sikora T. – Zarządzanie bezpieczeństwem żywności. Teoria i praktyka. Wyd. C.H. Beck, Warszawa 2010 </w:t>
            </w:r>
          </w:p>
          <w:p w:rsidR="00000000" w:rsidDel="00000000" w:rsidP="00000000" w:rsidRDefault="00000000" w:rsidRPr="00000000" w14:paraId="00000054">
            <w:pPr>
              <w:ind w:left="2" w:firstLine="0"/>
              <w:rPr/>
            </w:pPr>
            <w:r w:rsidDel="00000000" w:rsidR="00000000" w:rsidRPr="00000000">
              <w:rPr>
                <w:rtl w:val="0"/>
              </w:rPr>
              <w:t xml:space="preserve">3. Aktualne akty prawne obowiązkowe w nadzorze nad żywnością dostępne w witrynach internetowych: </w:t>
            </w:r>
            <w:hyperlink r:id="rId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http://isap.sejm.gov.pl/</w:t>
              </w:r>
            </w:hyperlink>
            <w:r w:rsidDel="00000000" w:rsidR="00000000" w:rsidRPr="00000000">
              <w:rPr>
                <w:rtl w:val="0"/>
              </w:rPr>
              <w:t xml:space="preserve">, </w:t>
            </w:r>
            <w:hyperlink r:id="rId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http://eur-lex.europa.eu</w:t>
              </w:r>
            </w:hyperlink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4. Normalizacja powiązana z nadzorem nad żywnością dostępna w witrynach internetowych: </w:t>
            </w:r>
            <w:hyperlink r:id="rId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http://www.pkn.pl/</w:t>
              </w:r>
            </w:hyperlink>
            <w:r w:rsidDel="00000000" w:rsidR="00000000" w:rsidRPr="00000000">
              <w:rPr>
                <w:rtl w:val="0"/>
              </w:rPr>
              <w:t xml:space="preserve">, </w:t>
            </w:r>
            <w:hyperlink r:id="rId1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http://normy.up.lublin.pl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Planowane formy/działania/metody dydaktyczne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Metody dydaktyczne:</w:t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wykład, dyskusja, ćwiczenia programowe z wykorzystaniem komputera, wypełnianie obowiązującej dokumentacji, konsultacje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Sposoby weryfikacji oraz formy dokumentowania osiągniętych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rPr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u w:val="single"/>
                <w:rtl w:val="0"/>
              </w:rPr>
              <w:t xml:space="preserve">SPOSOBY WERYFIKACJI:</w:t>
            </w:r>
          </w:p>
          <w:p w:rsidR="00000000" w:rsidDel="00000000" w:rsidP="00000000" w:rsidRDefault="00000000" w:rsidRPr="00000000" w14:paraId="0000005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W1-W3, U1-U3 i K1-K3 pisemne zaliczenie końcowe, U2-U3 i K2 ocena wypełniania przykładowych dokumentów związanych z nadzorem nad żywnością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Szczegółowe kryteria przy ocenie zaliczenia i prac kontrolnych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Formy dokumentowania osiągniętych wyników: dziennik prowadzącego, arkusze zaliczeniowe, wypełniona dokumentacja związana z nadzorem nad żywnością</w:t>
            </w:r>
          </w:p>
          <w:p w:rsidR="00000000" w:rsidDel="00000000" w:rsidP="00000000" w:rsidRDefault="00000000" w:rsidRPr="00000000" w14:paraId="00000065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Elementy i wagi mające wpływ na ocenę końcową</w:t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Ocena końcowa z egzaminu pisemnego 100 %</w:t>
            </w:r>
          </w:p>
          <w:p w:rsidR="00000000" w:rsidDel="00000000" w:rsidP="00000000" w:rsidRDefault="00000000" w:rsidRPr="00000000" w14:paraId="0000006A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Warunki te są przedstawiane na pierwszych zajęciach z modułu.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Bilans punktów ECTS</w:t>
            </w:r>
          </w:p>
          <w:p w:rsidR="00000000" w:rsidDel="00000000" w:rsidP="00000000" w:rsidRDefault="00000000" w:rsidRPr="00000000" w14:paraId="0000006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jc w:val="both"/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5131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2957"/>
              <w:gridCol w:w="1133"/>
              <w:gridCol w:w="1041"/>
              <w:tblGridChange w:id="0">
                <w:tblGrid>
                  <w:gridCol w:w="2957"/>
                  <w:gridCol w:w="1133"/>
                  <w:gridCol w:w="1041"/>
                </w:tblGrid>
              </w:tblGridChange>
            </w:tblGrid>
            <w:tr>
              <w:trPr>
                <w:cantSplit w:val="1"/>
                <w:trHeight w:val="196" w:hRule="atLeast"/>
                <w:tblHeader w:val="0"/>
              </w:trPr>
              <w:tc>
                <w:tcPr>
                  <w:gridSpan w:val="3"/>
                  <w:tcBorders>
                    <w:bottom w:color="000000" w:space="0" w:sz="4" w:val="single"/>
                  </w:tcBorders>
                  <w:shd w:fill="f2f2f2" w:val="clear"/>
                </w:tcPr>
                <w:p w:rsidR="00000000" w:rsidDel="00000000" w:rsidP="00000000" w:rsidRDefault="00000000" w:rsidRPr="00000000" w14:paraId="0000006F">
                  <w:pPr>
                    <w:jc w:val="center"/>
                    <w:rPr>
                      <w:b w:val="1"/>
                      <w:strike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KONTAKTOWE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88" w:hRule="atLeast"/>
                <w:tblHeader w:val="0"/>
              </w:trPr>
              <w:tc>
                <w:tcPr>
                  <w:tcBorders>
                    <w:top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72">
                  <w:pPr>
                    <w:rPr>
                      <w:color w:val="ff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73">
                  <w:pPr>
                    <w:rPr>
                      <w:i w:val="1"/>
                    </w:rPr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Godziny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74">
                  <w:pPr>
                    <w:rPr>
                      <w:i w:val="1"/>
                    </w:rPr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ECTS</w:t>
                  </w:r>
                </w:p>
              </w:tc>
            </w:tr>
            <w:tr>
              <w:trPr>
                <w:cantSplit w:val="1"/>
                <w:trHeight w:val="301" w:hRule="atLeast"/>
                <w:tblHeader w:val="0"/>
              </w:trPr>
              <w:tc>
                <w:tcPr>
                  <w:tcBorders>
                    <w:top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75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wykłady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76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7 h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77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0,28</w:t>
                  </w:r>
                </w:p>
              </w:tc>
            </w:tr>
            <w:tr>
              <w:trPr>
                <w:cantSplit w:val="1"/>
                <w:trHeight w:val="180" w:hRule="atLeast"/>
                <w:tblHeader w:val="0"/>
              </w:trPr>
              <w:tc>
                <w:tcPr>
                  <w:tcBorders>
                    <w:top w:color="000000" w:space="0" w:sz="4" w:val="single"/>
                  </w:tcBorders>
                </w:tcPr>
                <w:p w:rsidR="00000000" w:rsidDel="00000000" w:rsidP="00000000" w:rsidRDefault="00000000" w:rsidRPr="00000000" w14:paraId="00000078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ćwiczenia 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79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14 h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7A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0,56</w:t>
                  </w:r>
                </w:p>
              </w:tc>
            </w:tr>
            <w:tr>
              <w:trPr>
                <w:cantSplit w:val="1"/>
                <w:trHeight w:val="108" w:hRule="atLeast"/>
                <w:tblHeader w:val="0"/>
              </w:trPr>
              <w:tc>
                <w:tcPr/>
                <w:p w:rsidR="00000000" w:rsidDel="00000000" w:rsidP="00000000" w:rsidRDefault="00000000" w:rsidRPr="00000000" w14:paraId="0000007B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konsultacje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7C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 h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7D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   0,08</w:t>
                  </w:r>
                </w:p>
              </w:tc>
            </w:tr>
            <w:tr>
              <w:trPr>
                <w:cantSplit w:val="1"/>
                <w:trHeight w:val="181" w:hRule="atLeast"/>
                <w:tblHeader w:val="0"/>
              </w:trPr>
              <w:tc>
                <w:tcPr/>
                <w:p w:rsidR="00000000" w:rsidDel="00000000" w:rsidP="00000000" w:rsidRDefault="00000000" w:rsidRPr="00000000" w14:paraId="0000007E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zaliczenie poprawkowe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7F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 h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80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   0,08</w:t>
                  </w:r>
                </w:p>
              </w:tc>
            </w:tr>
            <w:tr>
              <w:trPr>
                <w:cantSplit w:val="1"/>
                <w:trHeight w:val="178" w:hRule="atLeast"/>
                <w:tblHeader w:val="0"/>
              </w:trPr>
              <w:tc>
                <w:tcPr/>
                <w:p w:rsidR="00000000" w:rsidDel="00000000" w:rsidP="00000000" w:rsidRDefault="00000000" w:rsidRPr="00000000" w14:paraId="00000081">
                  <w:pPr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RAZEM kontaktowe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82">
                  <w:pPr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   25 h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83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1,00</w:t>
                  </w:r>
                </w:p>
              </w:tc>
            </w:tr>
            <w:tr>
              <w:trPr>
                <w:cantSplit w:val="1"/>
                <w:trHeight w:val="178" w:hRule="atLeast"/>
                <w:tblHeader w:val="0"/>
              </w:trPr>
              <w:tc>
                <w:tcPr>
                  <w:gridSpan w:val="3"/>
                  <w:shd w:fill="f2f2f2" w:val="clear"/>
                </w:tcPr>
                <w:p w:rsidR="00000000" w:rsidDel="00000000" w:rsidP="00000000" w:rsidRDefault="00000000" w:rsidRPr="00000000" w14:paraId="00000084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NIEKONTAKTOWE</w:t>
                  </w:r>
                </w:p>
              </w:tc>
            </w:tr>
            <w:tr>
              <w:trPr>
                <w:cantSplit w:val="1"/>
                <w:trHeight w:val="178" w:hRule="atLeast"/>
                <w:tblHeader w:val="0"/>
              </w:trPr>
              <w:tc>
                <w:tcPr/>
                <w:p w:rsidR="00000000" w:rsidDel="00000000" w:rsidP="00000000" w:rsidRDefault="00000000" w:rsidRPr="00000000" w14:paraId="00000087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przygotowanie do ćwiczeń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88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8 h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89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0,32</w:t>
                  </w:r>
                </w:p>
              </w:tc>
            </w:tr>
            <w:tr>
              <w:trPr>
                <w:cantSplit w:val="1"/>
                <w:trHeight w:val="44" w:hRule="atLeast"/>
                <w:tblHeader w:val="0"/>
              </w:trPr>
              <w:tc>
                <w:tcPr/>
                <w:p w:rsidR="00000000" w:rsidDel="00000000" w:rsidP="00000000" w:rsidRDefault="00000000" w:rsidRPr="00000000" w14:paraId="0000008A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studiowanie literatury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8B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7 h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8C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0,28</w:t>
                  </w:r>
                </w:p>
              </w:tc>
            </w:tr>
            <w:tr>
              <w:trPr>
                <w:cantSplit w:val="1"/>
                <w:trHeight w:val="44" w:hRule="atLeast"/>
                <w:tblHeader w:val="0"/>
              </w:trPr>
              <w:tc>
                <w:tcPr/>
                <w:p w:rsidR="00000000" w:rsidDel="00000000" w:rsidP="00000000" w:rsidRDefault="00000000" w:rsidRPr="00000000" w14:paraId="0000008D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przygotowanie do zaliczenia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8E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  10 h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8F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   0,40</w:t>
                  </w:r>
                </w:p>
              </w:tc>
            </w:tr>
            <w:tr>
              <w:trPr>
                <w:cantSplit w:val="1"/>
                <w:trHeight w:val="197" w:hRule="atLeast"/>
                <w:tblHeader w:val="0"/>
              </w:trPr>
              <w:tc>
                <w:tcPr/>
                <w:p w:rsidR="00000000" w:rsidDel="00000000" w:rsidP="00000000" w:rsidRDefault="00000000" w:rsidRPr="00000000" w14:paraId="00000090">
                  <w:pPr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RAZEM niekontaktowe/pkt ECTS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91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25 h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92">
                  <w:pPr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   1,00</w:t>
                  </w:r>
                </w:p>
              </w:tc>
            </w:tr>
          </w:tbl>
          <w:p w:rsidR="00000000" w:rsidDel="00000000" w:rsidP="00000000" w:rsidRDefault="00000000" w:rsidRPr="00000000" w14:paraId="0000009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Nakład pracy związany z zajęciami wymagającymi bezpośredniego udziału nauczyciela akademickiego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udział  w wykładach - 7 h, ćwiczeniach - 14 h, konsultacjach - 2 h, zaliczeniu poprawkowym - 2 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sectPr>
      <w:headerReference r:id="rId11" w:type="first"/>
      <w:footerReference r:id="rId12" w:type="default"/>
      <w:pgSz w:h="16838" w:w="11906" w:orient="portrait"/>
      <w:pgMar w:bottom="1078" w:top="1418" w:left="1418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E">
    <w:pPr>
      <w:tabs>
        <w:tab w:val="left" w:leader="none" w:pos="5205"/>
      </w:tabs>
      <w:spacing w:after="120" w:lineRule="auto"/>
      <w:rPr/>
    </w:pPr>
    <w:r w:rsidDel="00000000" w:rsidR="00000000" w:rsidRPr="00000000">
      <w:rPr>
        <w:rtl w:val="0"/>
      </w:rPr>
      <w:tab/>
    </w:r>
  </w:p>
  <w:p w:rsidR="00000000" w:rsidDel="00000000" w:rsidP="00000000" w:rsidRDefault="00000000" w:rsidRPr="00000000" w14:paraId="0000009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cs="Noto Sans Symbols" w:eastAsia="Noto Sans Symbols" w:hAnsi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023A99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 w:val="1"/>
    <w:rsid w:val="00BF1306"/>
    <w:pPr>
      <w:ind w:left="720"/>
      <w:contextualSpacing w:val="1"/>
    </w:pPr>
  </w:style>
  <w:style w:type="paragraph" w:styleId="Default" w:customStyle="1">
    <w:name w:val="Default"/>
    <w:uiPriority w:val="99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490E6F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490E6F"/>
    <w:rPr>
      <w:rFonts w:ascii="Times New Roman" w:cs="Times New Roman" w:eastAsia="Times New Roman" w:hAnsi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9E7F63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9E7F63"/>
    <w:rPr>
      <w:rFonts w:ascii="Times New Roman" w:cs="Times New Roman" w:eastAsia="Times New Roman" w:hAnsi="Times New Roman"/>
      <w:b w:val="1"/>
      <w:bCs w:val="1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9E7F63"/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9E7F63"/>
    <w:rPr>
      <w:rFonts w:ascii="Tahoma" w:cs="Tahoma" w:eastAsia="Times New Roman" w:hAnsi="Tahoma"/>
      <w:sz w:val="16"/>
      <w:szCs w:val="16"/>
      <w:lang w:eastAsia="pl-PL"/>
    </w:rPr>
  </w:style>
  <w:style w:type="character" w:styleId="hps" w:customStyle="1">
    <w:name w:val="hps"/>
    <w:uiPriority w:val="99"/>
    <w:rsid w:val="0061078F"/>
  </w:style>
  <w:style w:type="character" w:styleId="shorttext" w:customStyle="1">
    <w:name w:val="short_text"/>
    <w:basedOn w:val="Domylnaczcionkaakapitu"/>
    <w:rsid w:val="0061078F"/>
  </w:style>
  <w:style w:type="character" w:styleId="Hipercze">
    <w:name w:val="Hyperlink"/>
    <w:rsid w:val="00EA16E0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://normy.up.lublin.pl" TargetMode="External"/><Relationship Id="rId12" Type="http://schemas.openxmlformats.org/officeDocument/2006/relationships/footer" Target="footer1.xml"/><Relationship Id="rId9" Type="http://schemas.openxmlformats.org/officeDocument/2006/relationships/hyperlink" Target="http://www.pkn.pl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isap.sejm.gov.pl/" TargetMode="External"/><Relationship Id="rId8" Type="http://schemas.openxmlformats.org/officeDocument/2006/relationships/hyperlink" Target="http://eur-lex.europa.e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XL3JGFIWSXAFto/RO8MPKsRCiw==">CgMxLjA4AHIhMWxDeHF2bEV1ZFgyUmVkaXg2SjEwUHJ1Zm12ZHQ0Ri1k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2024-11-06T21:03:00Z</dcterms:created>
  <dc:creator>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