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6379"/>
        <w:tblGridChange w:id="0">
          <w:tblGrid>
            <w:gridCol w:w="3828"/>
            <w:gridCol w:w="6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Język obcy specjalistyczny 1– Angielski B2+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- specialist terminology 1– English B2+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angielski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 (0,88/1,12)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mgr Joanna Rączkiewicz-Gołacka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491"/>
              </w:tabs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na poziome B2+ Europejskiego Systemu Opisu Kształcenie Językowego (CEFR). Podniesienie kompetencji językowych w zakresie słownictwa specjalistycznego.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sprawnej komunikacji w środowisku zawodowym i sytuacjach życia codziennego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U2. Potrafi dyskutować, argumentować, relacjonować i interpretować wydarzenia z życia codziennego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U3. Posiada umiejętność czytania ze zrozumieniem i analizowania obcojęzycznych tekstów źródłowych z zakresu reprezentowanej dziedziny naukowej.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U4. Potrafi przygotować i wygłosić prezentację związaną ze studiowaną dziedziną.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BC2_U11, BC2_U13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BC2_U11, BC2_U13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 BC2_U11, BC2_U13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 BC2_U11, BC2_U13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BC2_K01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Odniesienia modułowych efektów uczenia się do efektów inżynierskich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B2 według Europejskiego Systemu Opisu Kształcenia Językowego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zaawansowanych struktur gramatycznych i leksykalnych celem osiągnięcia przez studenta sprawnej komunikacji.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1.E.Atkinson, D. Szewczuk, English for Food Sciences and Biotechnology. Specialised Terminology, WUP, 2019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2.B.Gorbacz-Gancarz, L.Ostrowska, E.Stefańska, E.Supińska, E.Szczepaniak English for Dietetics, Wydawnictwo Lekarskie PZWL, Warszawa 2016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1.Zbiór tekstów specjalistycznych opracowanych przez wykładowców CNJOiC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2.Teksty specjalistyczne z różnych źródeł: Internet, prasa, publikacje naukowe, podręczniki naukowe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3.M. Grussendorf, English for Presentations, Oxford University Press, 2011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4.M. Grussendorf, English for Logistics, Oxford University Press, 2014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U1 -ocena wypowiedzi ustnych na zajęciach 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U2 -ocena wypowiedzi ustnych na zajęciach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U3-sprawdzian pisemny znajomości i umiejętności stosowania słownictwa specjalistycznego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–ocena prezentacji ustnej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K1-ocena przygotowania do zajęć i aktywności na ćwiczeniach, krytyczna ocena wygłoszonej prezentacji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prezentacje multimedialne przechowywane w formie elektronicznej, dziennik lektora.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sprawdziany pisemne – 35%</w:t>
            </w:r>
          </w:p>
          <w:p w:rsidR="00000000" w:rsidDel="00000000" w:rsidP="00000000" w:rsidRDefault="00000000" w:rsidRPr="00000000" w14:paraId="0000006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prezentacja ustna – 65%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      21 godz.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        1 godz.</w:t>
            </w:r>
          </w:p>
          <w:p w:rsidR="00000000" w:rsidDel="00000000" w:rsidP="00000000" w:rsidRDefault="00000000" w:rsidRPr="00000000" w14:paraId="0000006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22 godz. / 0,88 ECTS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          14 godz.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prezentacji:            14 godz.</w:t>
            </w:r>
          </w:p>
          <w:p w:rsidR="00000000" w:rsidDel="00000000" w:rsidP="00000000" w:rsidRDefault="00000000" w:rsidRPr="00000000" w14:paraId="0000007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28 godz. / 1,12  ECTS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 – 21 godz.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– 1 godz.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Łącznie 22 godz. co odpowiada 0,88  punktu ECTS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wg Załącznika nr 4 do Uchwały nr 3/2023-2024</w:t>
    </w:r>
  </w:p>
  <w:p w:rsidR="00000000" w:rsidDel="00000000" w:rsidP="00000000" w:rsidRDefault="00000000" w:rsidRPr="00000000" w14:paraId="0000007B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C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04F3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opka">
    <w:name w:val="footer"/>
    <w:basedOn w:val="Normalny"/>
    <w:link w:val="StopkaZnak"/>
    <w:uiPriority w:val="99"/>
    <w:unhideWhenUsed w:val="1"/>
    <w:rsid w:val="00604F3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04F3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604F3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5HiTcDt/b78o4EPlXvwaad5MA==">CgMxLjAyCGguZ2pkZ3hzOAByITFsWHJmV2RZdFJwTGVmR2xJTEVPa05JbWd1d0lyYlhXbw==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2024-11-19T20:29:00Z</dcterms:created>
  <dc:creator>Anna.Gruszecka</dc:creator>
</cp:coreProperties>
</file>