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260"/>
        <w:gridCol w:w="1276"/>
        <w:gridCol w:w="1381"/>
        <w:tblGridChange w:id="0">
          <w:tblGrid>
            <w:gridCol w:w="3369"/>
            <w:gridCol w:w="3260"/>
            <w:gridCol w:w="1276"/>
            <w:gridCol w:w="13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Aparatura przemysłu spożywczego </w:t>
            </w:r>
            <w:r w:rsidDel="00000000" w:rsidR="00000000" w:rsidRPr="00000000">
              <w:rPr>
                <w:i w:val="1"/>
                <w:rtl w:val="0"/>
              </w:rPr>
              <w:t xml:space="preserve">(Food processing machinery)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  (1,00/2,00)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Dariusz M. Stasiak, prof. uczelni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Katedra Technologii Surowców Pochodzenia Zwierzęcego – Wydział Nauk o Żywności i Biotechnologii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- poznanie budowy i działania aparatury technologicznej przemysłu spożywczego;</w:t>
            </w:r>
          </w:p>
          <w:p w:rsidR="00000000" w:rsidDel="00000000" w:rsidP="00000000" w:rsidRDefault="00000000" w:rsidRPr="00000000" w14:paraId="00000032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- rozpoznanie oddziaływania aparatury na aspekty bezpieczeństwa żywności;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 przygotowanie do pracy na stanowiskach związanych z kontrolowaniem procesu technologicznego w łańcuchu żywnościowym;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1. Absolwent zna i rozumie zagadnienia dotyczące techniki przetwórstwa i oddziaływania na bezpieczeństwo żywności.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2. Absolwent zna i rozumie podstawowe zagadnienia dotyczące utrzymania aparatury do produkcji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1. Absolwent potrafi przeprowadzić ocenę urządzenia technicznego pod względem potencjalnych zagrożeń dla bezpieczeństwa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2. Absolwent potrafi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okonać krytycznej analizy sposobu funkcjonowania istniejących rozwiązań technicznych dotyczących produkcji żywności oraz ocenić te rozwiązania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3. Absolwent potrafi wykorzystać doświadczenie inżynierskie do prawidłowej obsługi i utrzymania urządzeń produkcyjnych przemysłu spożywczego.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1. Absolwent jest gotów do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tałego uzupełniania wiedzy i samodoskonalenia w zakresie przepisów prawa żywnościowego, standardów, norm itp. dotyczących urządzeń technicznych stosowanych w przemyśle spożywczym.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BC2_W09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– BC2_U09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BC2_K01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InzBC_W03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InzBC_U04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InzBC_U06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Aspekty bezpieczeństwa żywności dotyczące aparatury technologicznej (GMP, GHP). Przegląd aparatury technologicznej, m.in.: do prowadzenia procesów mechanicznych, procesów związanych z przenoszeniem ciepła, przenoszenia masy. Struktura techniczna maszyn spożywczych. Budowa i zasada działania aparatury technologicznej z wykorzystaniem stanowisk laboratoryjnych.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- Błasiński H., Pyć W., Rzyski E.: Maszyny i aparatura technologiczna przemysłu spożywczego. Łódź: Wyd. PŁ, 2001. ISBN 83-7283-041-X.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- Wojdalski J. (red.): Użytkowanie maszyn i aparatury w przetwórstwie rolno-spożywczym. Wybrane zagadnienia. Warszawa: Wyd. SGGW, 2010. ISBN978-83-7583-166-5.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- Lewicki P., Lenart A., Kowalczyk R., Inżynieria procesowa i aparatura przemysłu spożywczego. WNT, Warszawa 2014.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- Wybrane normy PN, ISO, czasopisma branżowe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- Portale internetowe producentów aparatury przemysłu spożywczego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- Wykład z wykorzystaniem środków multimedialnych.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- Ćwiczenia – pokaz, praca z dokumentacją techniczną, dyskusja / studium.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- Ćwiczenia sprawdzające (sprawdzian)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- Konsultacje (w tym, z wykorzystaniem metod kształcenia na odległość)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- Egzamin pisemny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Sposoby weryfikacji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U1, U2, U3, K1 – ocena prac ćwiczeniowych / projektowych.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W2, U1, U2, U3 – ocena sprawdzianu.</w:t>
            </w:r>
          </w:p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W2, K1 – egzamin.</w:t>
            </w:r>
          </w:p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Formy dokumentowania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- wykonane prace ćwiczeniowe / projektowe</w:t>
            </w:r>
          </w:p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wykonane prace sprawdzające</w:t>
            </w:r>
          </w:p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wypełnione arkusze egzaminacyjne</w:t>
            </w:r>
          </w:p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dziennik przedmiotu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Ocena za realizację ćwiczeń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- 1/3 – średnia ocen za prace ćwiczeniowe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- 2/3 – średnia ocen za prace wykonywane samodzielnie (sprawdziany) i prace projektowe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Ocena końcowa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- 1/3 – ocena za realizację ćwiczeń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- 2/3 – ocena z egzaminu pisemnego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vMerge w:val="restart"/>
            <w:tcBorders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 zajęć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godzin / p. ECTS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kontakt.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niekontakt.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7/0,28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14/0,56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konsultacje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2/0,08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zajęć, sprawdzianów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16/0,64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wykonywanie zadań po ćwiczeniach / projektowych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17/0,68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studiowanie literatury, przygotowanie do egzaminu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17/0,68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egzamin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2/0,08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RAZEM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25/1,00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50/2,00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tcBorders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 pracy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godzin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udział w wykładach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udział w egzaminie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RAZEM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ind w:left="4248" w:firstLine="0"/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nr 4 do Uchwały nr 3/2023-2024</w:t>
    </w:r>
  </w:p>
  <w:p w:rsidR="00000000" w:rsidDel="00000000" w:rsidP="00000000" w:rsidRDefault="00000000" w:rsidRPr="00000000" w14:paraId="000000D8">
    <w:pPr>
      <w:jc w:val="right"/>
      <w:rPr/>
    </w:pPr>
    <w:r w:rsidDel="00000000" w:rsidR="00000000" w:rsidRPr="00000000">
      <w:rPr>
        <w:sz w:val="22"/>
        <w:szCs w:val="22"/>
        <w:rtl w:val="0"/>
      </w:rPr>
      <w:t xml:space="preserve">Senatu UP w Lublinie z dnia 27 października 2023 r.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82450"/>
    <w:rPr>
      <w:rFonts w:ascii="Times New Roman" w:eastAsia="Times New Roman" w:hAnsi="Times New Roman"/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locked w:val="1"/>
    <w:rsid w:val="008D17BD"/>
    <w:rPr>
      <w:rFonts w:ascii="Times New Roman" w:cs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locked w:val="1"/>
    <w:rsid w:val="008D17BD"/>
    <w:rPr>
      <w:rFonts w:ascii="Times New Roman" w:cs="Times New Roman" w:hAnsi="Times New Roman"/>
      <w:sz w:val="24"/>
      <w:szCs w:val="24"/>
      <w:lang w:eastAsia="pl-PL"/>
    </w:rPr>
  </w:style>
  <w:style w:type="character" w:styleId="fontstyle01" w:customStyle="1">
    <w:name w:val="fontstyle01"/>
    <w:rsid w:val="00766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 w:val="1"/>
    <w:rsid w:val="00655433"/>
    <w:rPr>
      <w:color w:val="0000ff"/>
      <w:u w:val="single"/>
    </w:rPr>
  </w:style>
  <w:style w:type="character" w:styleId="Nierozpoznanawzmianka">
    <w:name w:val="Unresolved Mention"/>
    <w:uiPriority w:val="99"/>
    <w:semiHidden w:val="1"/>
    <w:unhideWhenUsed w:val="1"/>
    <w:rsid w:val="0065543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7eQ6R1bbXheqvBeFnJEGIvkCQQ==">CgMxLjAyCGguZ2pkZ3hzOAByITFGanZLcXhFWXg3T3IwUG56SnpiaWxqS0VZTURCT3BRYw==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2020-01-14T08:52:00Z</dcterms:created>
  <dc:creator>1</dc:creator>
</cp:coreProperties>
</file>