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Karta opisu zajęć (sylabus)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42"/>
        <w:gridCol w:w="5344"/>
        <w:tblGridChange w:id="0">
          <w:tblGrid>
            <w:gridCol w:w="3942"/>
            <w:gridCol w:w="534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Nazwa kierunku studiów </w:t>
            </w:r>
          </w:p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Bezpieczeństwo i certyfikacja żywności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Nazwa modułu, także nazwa w języku angielskim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Identyfikowalność żywności i pasz </w:t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Traceability of food and fodder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Język wykładowy 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polski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Rodzaj modułu 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obowiązkowy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Poziom studiów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drugiego stopnia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Forma studiów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niestacjonarne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Rok studiów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II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Semestr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Liczba punktów ECTS z podziałem na kontaktowe/niekontaktowe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3 (1/2)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Tytuł naukowy/stopień naukowy, imię i nazwisko osoby odpowiedzialnej za moduł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dr inż. Robert Krusiński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Jednostka oferująca moduł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Instytut Żywienia Zwierząt i Bromatologii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Cel modułu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Zapoznanie studentów z systemem identyfikowalności pasz i żywności jako sposobem zapewnienia bezpieczeństwa żywności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2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Efekty uczenia się dla modułu to opis zasobu wiedzy, umiejętności i kompetencji społecznych, które student osiągnie po zrealizowaniu zajęć.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Wiedza: 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W1. Ma wiedzę z zakresu prawa żywnościowego obowiązującego w Polsce i innych krajach UE, systemu identyfikowalności oraz zasad funkcjonowania urzędowych nadzorów nad bezpieczeństwem żywności.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W2. Zna zasady etykietowania i certyfikacji stosowane w Polsce i innych krajach UE.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W3. Ma wiedzę na temat wpływu składników żywności na bezpieczeństwo zdrowotne konsumenta.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Umiejętności: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U1. Umie wyszukać i zrozumieć informacje dotyczące prawa żywnościowego obowiązującego w Polsce i innych krajach  UE.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U2. Przygotowuje i przedstawia prezentacje, ustne wystąpienia i pisemne sprawozdania dotyczące konkretnego zagadnienia.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Kompetencje społeczne: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K1. Rozumie potrzebę stałego uzupełniania wiedzy w zakresie przepisów prawa żywnościowego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Odniesienie modułowych efektów uczenia się do kierunkowych efektów uczenia się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W1 - BC2 _W04</w:t>
            </w:r>
          </w:p>
          <w:p w:rsidR="00000000" w:rsidDel="00000000" w:rsidP="00000000" w:rsidRDefault="00000000" w:rsidRPr="00000000" w14:paraId="0000003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W2 - BC2 _W06</w:t>
            </w:r>
          </w:p>
          <w:p w:rsidR="00000000" w:rsidDel="00000000" w:rsidP="00000000" w:rsidRDefault="00000000" w:rsidRPr="00000000" w14:paraId="0000003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W3 - BC2 _W07</w:t>
            </w:r>
          </w:p>
          <w:p w:rsidR="00000000" w:rsidDel="00000000" w:rsidP="00000000" w:rsidRDefault="00000000" w:rsidRPr="00000000" w14:paraId="0000003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U1 - BC2 _U01</w:t>
            </w:r>
          </w:p>
          <w:p w:rsidR="00000000" w:rsidDel="00000000" w:rsidP="00000000" w:rsidRDefault="00000000" w:rsidRPr="00000000" w14:paraId="0000003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U2 - BC2 _U13</w:t>
            </w:r>
          </w:p>
          <w:p w:rsidR="00000000" w:rsidDel="00000000" w:rsidP="00000000" w:rsidRDefault="00000000" w:rsidRPr="00000000" w14:paraId="0000003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K1 - BC2 _K01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Odniesienie modułowych efektów uczenia się do efektów inżynierskich (jeżeli dotyczy)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 – InzBC_U01</w:t>
            </w:r>
          </w:p>
          <w:p w:rsidR="00000000" w:rsidDel="00000000" w:rsidP="00000000" w:rsidRDefault="00000000" w:rsidRPr="00000000" w14:paraId="0000003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Wymagania wstępne i dodatkowe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Zaliczenie biochemii, fizjologii zwierząt, paszoznawstwa, zagrożeń w produkcji roślinnej i zwierzęcej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Treści programowe modułu 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Zasady funkcjonowania systemu śledzenia produktu; możliwości śledzenia; znakowanie i etykietowanie pasz i żywności; dystrybucja na rynku; zewnętrzne i wewnętrzne systemy identyfikowalności; identyfikowalność w świetle prawa; zależność pomiędzy jakością pasz a jakością produktów pochodzenia zwierzęcego; zależność pomiędzy uprawą a jakością żywności pochodzenia roślinnego; korzyści wynikające z wdrożenia systemu identyfikowalności; sposoby zarządzania kryzysowego w przypadku wystąpienia zagrożeń.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Wykaz literatury podstawowej i uzupełniającej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Literatura podstawowa:</w:t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1. Skrzypek E. (Red.). Metody, techniki i narzędzia zarządzania. Wyd. UMCS, Lublin, 2011.</w:t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2. Akty prawne</w:t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Literatura uzupełniająca:</w:t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1. Wieland A. (Red.). Praktyka higieny żywienia i żywności. Poradnik dla kierowników placówek handlowych, gastronomicznych oraz przemysłu spożywczego. Wyd. Forum, Poznań, 2004.</w:t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2. Kołożyn-Krajewska D. (Red.). Higiena produkcji żywności. Wyd. SGGW, Warszawa, 2007.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Planowane formy/działania/metody dydaktyczne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Wykład, zadania z wykorzystaniem programów komputerowych, prace projektowe, dyskusja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Sposoby weryfikacji oraz formy dokumentowania osiągniętych efektów uczenia się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Sposoby weryfikacji:</w:t>
            </w:r>
          </w:p>
          <w:p w:rsidR="00000000" w:rsidDel="00000000" w:rsidP="00000000" w:rsidRDefault="00000000" w:rsidRPr="00000000" w14:paraId="0000004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W1 – ocena realizacji przyznanego tematu (praca własna), kolokwium pisemne, egzamin pisemny</w:t>
            </w:r>
          </w:p>
          <w:p w:rsidR="00000000" w:rsidDel="00000000" w:rsidP="00000000" w:rsidRDefault="00000000" w:rsidRPr="00000000" w14:paraId="0000004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W2 – praca własna na ćwiczeniach</w:t>
            </w:r>
          </w:p>
          <w:p w:rsidR="00000000" w:rsidDel="00000000" w:rsidP="00000000" w:rsidRDefault="00000000" w:rsidRPr="00000000" w14:paraId="0000005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W3 – kolokwium pisemne, egzamin pisemny</w:t>
            </w:r>
          </w:p>
          <w:p w:rsidR="00000000" w:rsidDel="00000000" w:rsidP="00000000" w:rsidRDefault="00000000" w:rsidRPr="00000000" w14:paraId="0000005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U1 – ocena wykonania zadania projektowego</w:t>
            </w:r>
          </w:p>
          <w:p w:rsidR="00000000" w:rsidDel="00000000" w:rsidP="00000000" w:rsidRDefault="00000000" w:rsidRPr="00000000" w14:paraId="0000005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U2 – ocena realizacji przyznanego tematu oraz zadania projektowego (praca własna)</w:t>
            </w:r>
          </w:p>
          <w:p w:rsidR="00000000" w:rsidDel="00000000" w:rsidP="00000000" w:rsidRDefault="00000000" w:rsidRPr="00000000" w14:paraId="0000005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K1 – pytania otwarte na kolokwiach i egzaminie</w:t>
            </w:r>
          </w:p>
          <w:p w:rsidR="00000000" w:rsidDel="00000000" w:rsidP="00000000" w:rsidRDefault="00000000" w:rsidRPr="00000000" w14:paraId="0000005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DOKUMENTOWANIE OSIĄGNIĘTYCH EFEKTÓW UCZENIA SIĘ w formie: </w:t>
            </w:r>
          </w:p>
          <w:p w:rsidR="00000000" w:rsidDel="00000000" w:rsidP="00000000" w:rsidRDefault="00000000" w:rsidRPr="00000000" w14:paraId="0000005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prace etapowe: projekty, opis zadań wykonywanych na  ćwiczeniach itp. </w:t>
            </w:r>
          </w:p>
          <w:p w:rsidR="00000000" w:rsidDel="00000000" w:rsidP="00000000" w:rsidRDefault="00000000" w:rsidRPr="00000000" w14:paraId="0000005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prace końcowe: egzamin, prezentacja projektu archiwizowanie w formie papierowej lub cyfrowej; dziennik prowadzącego</w:t>
            </w:r>
          </w:p>
          <w:p w:rsidR="00000000" w:rsidDel="00000000" w:rsidP="00000000" w:rsidRDefault="00000000" w:rsidRPr="00000000" w14:paraId="0000005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Szczegółowe kryteria przy ocenie egzaminów i prac kontrolnych</w:t>
            </w:r>
          </w:p>
          <w:p w:rsidR="00000000" w:rsidDel="00000000" w:rsidP="00000000" w:rsidRDefault="00000000" w:rsidRPr="00000000" w14:paraId="0000005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1)</w:t>
              <w:tab/>
              <w:t xml:space="preserve">student wykazuje dostateczny (3,0) stopień wiedzy lub umiejętności, gdy uzyskuje od 51 do 60% sumy punktów określających maksymalny poziom wiedzy lub umiejętności z danego przedmiotu (odpowiednio, przy zaliczeniu cząstkowym – jego części), </w:t>
            </w:r>
          </w:p>
          <w:p w:rsidR="00000000" w:rsidDel="00000000" w:rsidP="00000000" w:rsidRDefault="00000000" w:rsidRPr="00000000" w14:paraId="0000005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2)</w:t>
              <w:tab/>
              <w:t xml:space="preserve">student wykazuje dostateczny plus (3,5) stopień wiedzy lub umiejętności, gdy uzyskuje od 61 do 70% sumy punktów określających maksymalny poziom wiedzy lub umiejętności z danego przedmiotu (odpowiednio – jego części), </w:t>
            </w:r>
          </w:p>
          <w:p w:rsidR="00000000" w:rsidDel="00000000" w:rsidP="00000000" w:rsidRDefault="00000000" w:rsidRPr="00000000" w14:paraId="0000005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3)</w:t>
              <w:tab/>
              <w:t xml:space="preserve">student wykazuje dobry stopień (4,0) wiedzy lub umiejętności, gdy uzyskuje od 71 do 80% sumy punktów określających maksymalny poziom wiedzy lub umiejętności z danego przedmiotu (odpowiednio – jego części), </w:t>
            </w:r>
          </w:p>
          <w:p w:rsidR="00000000" w:rsidDel="00000000" w:rsidP="00000000" w:rsidRDefault="00000000" w:rsidRPr="00000000" w14:paraId="0000005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4)</w:t>
              <w:tab/>
              <w:t xml:space="preserve">student wykazuje plus dobry stopień (4,5) wiedzy lub umiejętności, gdy uzyskuje od 81 do 90% sumy punktów określających maksymalny poziom wiedzy lub umiejętności z danego przedmiotu (odpowiednio – jego części),</w:t>
            </w:r>
          </w:p>
          <w:p w:rsidR="00000000" w:rsidDel="00000000" w:rsidP="00000000" w:rsidRDefault="00000000" w:rsidRPr="00000000" w14:paraId="0000005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5)</w:t>
              <w:tab/>
              <w:t xml:space="preserve">student wykazuje bardzo dobry stopień (5,0) wiedzy lub umiejętności, gdy uzyskuje powyżej 91% sumy punktów określających maksymalny poziom wiedzy lub umiejętności z danego przedmiotu (odpowiednio – jego części)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Elementy i wagi mające wpływ na ocenę końcową</w:t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Ocena z ćwiczeń – średnia arytmetyczna ocen z kart pracy oraz oceny z realizacji i prezentacji projektu;</w:t>
            </w:r>
          </w:p>
          <w:p w:rsidR="00000000" w:rsidDel="00000000" w:rsidP="00000000" w:rsidRDefault="00000000" w:rsidRPr="00000000" w14:paraId="0000006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Ocena końcowa – ocena z egzaminu 60% + 40% ocena z ćwiczeń.</w:t>
            </w:r>
          </w:p>
          <w:p w:rsidR="00000000" w:rsidDel="00000000" w:rsidP="00000000" w:rsidRDefault="00000000" w:rsidRPr="00000000" w14:paraId="0000006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Warunki te są przedstawiane na pierwszych zajęciach z modułu.</w:t>
            </w:r>
          </w:p>
        </w:tc>
      </w:tr>
      <w:tr>
        <w:trPr>
          <w:cantSplit w:val="0"/>
          <w:trHeight w:val="232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Bilans punktów ECTS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Formy zajęć: wykład, ćwiczenia, konsultacje, przygotowanie do zajęć, przygotowanie projektów, studiowanie literatury</w:t>
            </w:r>
          </w:p>
          <w:p w:rsidR="00000000" w:rsidDel="00000000" w:rsidP="00000000" w:rsidRDefault="00000000" w:rsidRPr="00000000" w14:paraId="0000006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Kontaktowe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1"/>
              </w:numPr>
              <w:ind w:left="480" w:hanging="360"/>
              <w:rPr/>
            </w:pPr>
            <w:r w:rsidDel="00000000" w:rsidR="00000000" w:rsidRPr="00000000">
              <w:rPr>
                <w:rtl w:val="0"/>
              </w:rPr>
              <w:t xml:space="preserve">wykład (7 godz./0,3 ECTS), </w:t>
            </w:r>
          </w:p>
          <w:p w:rsidR="00000000" w:rsidDel="00000000" w:rsidP="00000000" w:rsidRDefault="00000000" w:rsidRPr="00000000" w14:paraId="0000006A">
            <w:pPr>
              <w:numPr>
                <w:ilvl w:val="0"/>
                <w:numId w:val="1"/>
              </w:numPr>
              <w:ind w:left="480" w:hanging="360"/>
              <w:rPr/>
            </w:pPr>
            <w:r w:rsidDel="00000000" w:rsidR="00000000" w:rsidRPr="00000000">
              <w:rPr>
                <w:rtl w:val="0"/>
              </w:rPr>
              <w:t xml:space="preserve">ćwiczenia (14 godz./0,6 ECTS), </w:t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1"/>
              </w:numPr>
              <w:ind w:left="480" w:hanging="360"/>
              <w:rPr/>
            </w:pPr>
            <w:r w:rsidDel="00000000" w:rsidR="00000000" w:rsidRPr="00000000">
              <w:rPr>
                <w:rtl w:val="0"/>
              </w:rPr>
              <w:t xml:space="preserve">konsultacje (3 godz./0,12 ECTS), </w:t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1"/>
              </w:numPr>
              <w:ind w:left="480" w:hanging="360"/>
              <w:rPr/>
            </w:pPr>
            <w:r w:rsidDel="00000000" w:rsidR="00000000" w:rsidRPr="00000000">
              <w:rPr>
                <w:rtl w:val="0"/>
              </w:rPr>
              <w:t xml:space="preserve">egzamin (2 godz./0,08 ECTS). </w:t>
            </w:r>
          </w:p>
          <w:p w:rsidR="00000000" w:rsidDel="00000000" w:rsidP="00000000" w:rsidRDefault="00000000" w:rsidRPr="00000000" w14:paraId="0000006D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  <w:t xml:space="preserve">Łącznie – 26 godz./1,0 ECTS</w:t>
            </w:r>
          </w:p>
          <w:p w:rsidR="00000000" w:rsidDel="00000000" w:rsidP="00000000" w:rsidRDefault="00000000" w:rsidRPr="00000000" w14:paraId="0000006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Niekontaktowe</w:t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2"/>
              </w:numPr>
              <w:ind w:left="480" w:hanging="360"/>
              <w:rPr/>
            </w:pPr>
            <w:r w:rsidDel="00000000" w:rsidR="00000000" w:rsidRPr="00000000">
              <w:rPr>
                <w:rtl w:val="0"/>
              </w:rPr>
              <w:t xml:space="preserve">przygotowanie do zajęć (10 godz./0,4 ECTS),</w:t>
            </w:r>
          </w:p>
          <w:p w:rsidR="00000000" w:rsidDel="00000000" w:rsidP="00000000" w:rsidRDefault="00000000" w:rsidRPr="00000000" w14:paraId="00000070">
            <w:pPr>
              <w:numPr>
                <w:ilvl w:val="0"/>
                <w:numId w:val="2"/>
              </w:numPr>
              <w:ind w:left="480" w:hanging="360"/>
              <w:rPr/>
            </w:pPr>
            <w:r w:rsidDel="00000000" w:rsidR="00000000" w:rsidRPr="00000000">
              <w:rPr>
                <w:rtl w:val="0"/>
              </w:rPr>
              <w:t xml:space="preserve">przygotowanie do egzaminu (20 godz./0,8 ECTS),</w:t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2"/>
              </w:numPr>
              <w:ind w:left="480" w:hanging="360"/>
              <w:rPr/>
            </w:pPr>
            <w:r w:rsidDel="00000000" w:rsidR="00000000" w:rsidRPr="00000000">
              <w:rPr>
                <w:rtl w:val="0"/>
              </w:rPr>
              <w:t xml:space="preserve">przygotowanie projektów  (20 godz./0,8 ECTS)</w:t>
            </w:r>
          </w:p>
          <w:p w:rsidR="00000000" w:rsidDel="00000000" w:rsidP="00000000" w:rsidRDefault="00000000" w:rsidRPr="00000000" w14:paraId="0000007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Łącznie - 50 godz./2,0 ECTS</w:t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Nakład pracy związany z zajęciami wymagającymi bezpośredniego udziału nauczyciela akademickiego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Udział w wykładach – 7 godz.; w ćwiczeniach – 14 godz.; konsultacjach – 3 godz.; egzaminie – 2 godz.</w:t>
            </w:r>
          </w:p>
        </w:tc>
      </w:tr>
    </w:tbl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pgSz w:h="16838" w:w="11906" w:orient="portrait"/>
      <w:pgMar w:bottom="1078" w:top="1418" w:left="1418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C">
    <w:pPr>
      <w:jc w:val="right"/>
      <w:rPr>
        <w:sz w:val="22"/>
        <w:szCs w:val="22"/>
      </w:rPr>
    </w:pPr>
    <w:r w:rsidDel="00000000" w:rsidR="00000000" w:rsidRPr="00000000">
      <w:rPr>
        <w:sz w:val="22"/>
        <w:szCs w:val="22"/>
        <w:rtl w:val="0"/>
      </w:rPr>
      <w:t xml:space="preserve">Załącznik  nr 4 do Uchwały nr 3/2023-2024</w:t>
    </w:r>
  </w:p>
  <w:p w:rsidR="00000000" w:rsidDel="00000000" w:rsidP="00000000" w:rsidRDefault="00000000" w:rsidRPr="00000000" w14:paraId="0000007D">
    <w:pPr>
      <w:jc w:val="right"/>
      <w:rPr>
        <w:sz w:val="22"/>
        <w:szCs w:val="22"/>
      </w:rPr>
    </w:pPr>
    <w:r w:rsidDel="00000000" w:rsidR="00000000" w:rsidRPr="00000000">
      <w:rPr>
        <w:sz w:val="22"/>
        <w:szCs w:val="22"/>
        <w:rtl w:val="0"/>
      </w:rPr>
      <w:t xml:space="preserve">                                                            Senatu UP w Lublinie z dnia 27 października 2023 r.</w:t>
    </w:r>
  </w:p>
  <w:p w:rsidR="00000000" w:rsidDel="00000000" w:rsidP="00000000" w:rsidRDefault="00000000" w:rsidRPr="00000000" w14:paraId="0000007E">
    <w:pPr>
      <w:tabs>
        <w:tab w:val="left" w:leader="none" w:pos="5205"/>
      </w:tabs>
      <w:spacing w:after="120" w:lineRule="auto"/>
      <w:rPr/>
    </w:pPr>
    <w:r w:rsidDel="00000000" w:rsidR="00000000" w:rsidRPr="00000000">
      <w:rPr>
        <w:rtl w:val="0"/>
      </w:rPr>
      <w:t xml:space="preserve"> </w:t>
      <w:tab/>
    </w:r>
  </w:p>
  <w:p w:rsidR="00000000" w:rsidDel="00000000" w:rsidP="00000000" w:rsidRDefault="00000000" w:rsidRPr="00000000" w14:paraId="0000007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023A99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hps" w:customStyle="1">
    <w:name w:val="hps"/>
    <w:uiPriority w:val="99"/>
    <w:rsid w:val="001804F4"/>
    <w:rPr>
      <w:rFonts w:cs="Times New Roman"/>
    </w:rPr>
  </w:style>
  <w:style w:type="paragraph" w:styleId="Default" w:customStyle="1">
    <w:name w:val="Default"/>
    <w:rsid w:val="00054494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KwPzNZb9yV4/2urJ+AadoAACvg==">CgMxLjAyCGguZ2pkZ3hzOAByITF6UU8wa0N6aEdOcTBEZUxiR1hnSHhGVlctR3M1UFFNOQ==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2024-11-21T22:46:00Z</dcterms:created>
  <dc:creator>1</dc:creator>
</cp:coreProperties>
</file>