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Technologia informacyjna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Information technology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rtl w:val="0"/>
              </w:rPr>
              <w:t xml:space="preserve">drugiego stopnia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  <w:t xml:space="preserve">/niestacjonarne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(1,12/0,88)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Bożena Kiczorowska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Instytut Żywienia Zwierząt i Bromatologii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Podstawowym zadaniem przedmiotu jest biegłe opanowanie przez studentów posługiwania się pakietem Microsoft Office w środowisku Windows, który pozwala na redagowanie raportów z zakresu bezpieczeństwa pracy, tworzenie bazy danych dotyczących czynników wpływających na bezpieczeństwo żywności i jej przetwarzanie, wykorzystanie arkusza kalkulacyjnego w matematycznym opracowywaniu wyników z pomiarów, analiz chemicznych itp. pozwalających monitorować poziom bezpieczeństwa żywności, a także ich wizualizację graficzną i prezentację multimedialną. W ramach przedmiotu studenci wykorzystują również Internet jako źródło informacji na temat bezpieczeństwa pracy o różnej specyfice.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 wiedzę na temat zasad tworzenia, redagowania, formatowania dokumentu tekstowego oraz podstawowe funkcje arkusza w opracowywaniu i prezentowaniu danych dotyczących warunków i czynników składających się na zachowanie bezpieczeństwa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W2. Zna zasady ochrony prawa autorskiego i techniki pozyskiwania informacji z Internetu.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Przygotowuje notatki, raporty, oceny, ekspertyzy dotyczące czynników wpływających na bezpieczeństwo żywności. Oblicza, ocenia, szacuje i graficznie wizualizuje dane dotyczące bezpieczeństwa żywności.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Pozyskuje informacje związane z bezpieczeństwem żywności z Internetu i prezentuje je w różnych formach multimedialnego pokazu slajdów.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 przekonanie o sensie, wartości i potrzebie doskonalenia swoich umiejętności oraz przekazywania swojej wiedzy i prezentacji siebie za pomocą najnowszych technik informatycznych.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K2. Potrafi określić priorytety służące do prawidłowego przeprowadzenia informatycznej analizy czynników wpływających na bezpieczeństwo żywności oraz zależności miedzy nimi, a także potrafi współdziałać w grupie w przygotowywaniu baz danych, notatek, raportów, czy ekspertyz z tematu bezpieczeństwa i higieny pracy.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BC1_W13, BC1_W14;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– BC1_W15;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BC1_U03, BC1_U04;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 – BC1_U01;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BC1_K01, BC1_K04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K2 – BC1_K03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 (Załącznik)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 InzBC_W02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–  InzBC_W05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 InzBC_U01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 –  InzBC_U02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 ramach przedmiotu prezentowane są możliwości pakietu Microsoft Office, np.: redagowanie i formatowanie, zgodnie z wymaganiami edytorskim ekspertyzy, oceny, raporty itp. z zakresu bezpieczeństwa żywności, tworzenie bazy danych dotyczących czynników wpływających na bezpieczeństwo pracy i jej przetwarzanie, wykorzystanie arkusza kalkulacyjnego jako narzędzia do analizy, selekcjonowania, przetwarzania oraz zarządzania danymi (tworzenie wykresów, segregacja danych pozwalających monitorować poziom bezpieczeństwa pracy - Microsoft Excel), a także ich wizualizację multimedialną (Microsoft PowerPoint). W ramach przedmiotu studenci wykorzystują również Internet jako źródło informacji na temat bezpieczeństwa pracy o różnej specyfice.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również dostępna u nauczyciela odpowiedzialnego za moduł. 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Literatura podstawowa: 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1.Microsoft 2007 Office System Microsoft Official Academic Course tom I/II. Wyd.Microsoft Press, 2010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2.Kopertowska M. Sikorski W. Przetwarzanie tekstu. Poziom zaawansowany. Wyd. MIKON PWN, 2006.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3.Alexander M., Walkenbach J. Analiza i prezentacja danych w Microsoft Excel Vademecum Walkenbacha. Wyd. HELION, 2011.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4.Munter M., Paradi D. Prezentacje w programie PowerPoint. Przewodnik. Wyd. Wolters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Kluwer, 2009.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1.Hards D. Microsoft Office 2007 Business Intelligence. Raporty analizy i pomiary na komputerze PC .Wyd. Microsoft Press, 2010.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2.Chodorek A., Chodorek R., Pach A. Dystrybucja danych w sieci Internet . Wyd. WKiŁ, 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Metody dydaktyczne: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Wykłady - prezentacje multimedialne, prelekcja, dyskusja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Ćwiczenia – indywidualna praca studenta - metody programowe z wykorzystaniem komputera.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i W2– ocena dwóch sprawdzianów praktycznych – zadania wykonane z pomocą programów komputerowych, ocena zadania projektowego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 i U2 – ocena dwóch sprawdzianów praktycznych – zadania wykonane z pomocą programów komputerowych, ocena zadania projektowego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i K2 – ocena udziału w dyskusji, wspólne dążenie do weryfikacji postawionych tez poprzez analizę danych, uwzględniona w ocenie pracy indywidualnej.</w:t>
            </w:r>
          </w:p>
          <w:p w:rsidR="00000000" w:rsidDel="00000000" w:rsidP="00000000" w:rsidRDefault="00000000" w:rsidRPr="00000000" w14:paraId="00000060">
            <w:pPr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DOKUMENTOWANIE OSIĄGNIĘTYCH EFEKTÓW UCZENIA SIĘ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 formie: prace etapowe: zaliczenia cząstkowe  i prace końcowe: projekt (referat i prezentacja) archiwizowanie w formie cyfrowej.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80 % średnia arytmetyczna z ocen uzyskanych na ćwiczeniach (oceny sprawdzianów) + 20% ocena z projektu (referat + prezentacja). 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(14 godz./0,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ECTS),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(14 godz./0,56 ECTS), </w:t>
            </w:r>
          </w:p>
          <w:p w:rsidR="00000000" w:rsidDel="00000000" w:rsidP="00000000" w:rsidRDefault="00000000" w:rsidRPr="00000000" w14:paraId="00000074">
            <w:pPr>
              <w:ind w:left="1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28 godz./1,12 ECTS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 godz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./0,28 ECTS),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(5 godz./0,2 ECTS),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realizacji projektu indywidulanego (10 godz./0,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22 godz./0,88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wykładach – 14 godz.; w ćwiczeniach – 14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5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6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7E7B"/>
    <w:pPr>
      <w:spacing w:after="16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IsUhvWKV3seD0Dvgo66JHSduA==">CgMxLjAyCGguZ2pkZ3hzOAByITFVcnNYQzRxYkJVZGxoWDBmUVpTRld0YkdZTDY5Y3NtaQ==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2024-11-19T22:07:00Z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