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2344B" w:rsidRDefault="00FF6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Molekularne metody wykrywania zafałszowań żywności</w:t>
            </w: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Molecular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methods</w:t>
            </w:r>
            <w:proofErr w:type="spellEnd"/>
            <w:r>
              <w:rPr>
                <w:rFonts w:cs="Times New Roman"/>
                <w:color w:val="000000"/>
              </w:rPr>
              <w:t xml:space="preserve"> of </w:t>
            </w:r>
            <w:proofErr w:type="spellStart"/>
            <w:r>
              <w:rPr>
                <w:rFonts w:cs="Times New Roman"/>
                <w:color w:val="000000"/>
              </w:rPr>
              <w:t>detecting</w:t>
            </w:r>
            <w:proofErr w:type="spellEnd"/>
            <w:r>
              <w:rPr>
                <w:rFonts w:cs="Times New Roman"/>
                <w:color w:val="000000"/>
              </w:rPr>
              <w:t xml:space="preserve"> food </w:t>
            </w:r>
            <w:proofErr w:type="spellStart"/>
            <w:r>
              <w:rPr>
                <w:rFonts w:cs="Times New Roman"/>
                <w:color w:val="000000"/>
              </w:rPr>
              <w:t>adulterations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niestacjonarne</w:t>
            </w:r>
            <w:proofErr w:type="gramEnd"/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IV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(0,64/0,36)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dr</w:t>
            </w:r>
            <w:proofErr w:type="gramEnd"/>
            <w:r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Celem modułu jest zapoznanie Studentów z problematyką zafałszowań żywności i </w:t>
            </w:r>
            <w:proofErr w:type="gramStart"/>
            <w:r>
              <w:rPr>
                <w:rFonts w:cs="Times New Roman"/>
                <w:color w:val="000000"/>
              </w:rPr>
              <w:t>zagrożeniami jakie</w:t>
            </w:r>
            <w:proofErr w:type="gramEnd"/>
            <w:r>
              <w:rPr>
                <w:rFonts w:cs="Times New Roman"/>
                <w:color w:val="000000"/>
              </w:rPr>
              <w:t xml:space="preserve"> ze sobą niosą takie praktyki.</w:t>
            </w: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Ponadto w trakcie realizacji modułu przedstawione zostaną podstawowe metody molekularne stosowane do detekcji zafałszowań żywności wraz z ich zaletami i ograniczeniami. Studenci zostaną także zapoznani z bazami danych i narzędziami </w:t>
            </w:r>
            <w:proofErr w:type="spellStart"/>
            <w:r>
              <w:rPr>
                <w:rFonts w:cs="Times New Roman"/>
                <w:color w:val="000000"/>
              </w:rPr>
              <w:t>bioinformatycznymi</w:t>
            </w:r>
            <w:proofErr w:type="spellEnd"/>
            <w:r>
              <w:rPr>
                <w:rFonts w:cs="Times New Roman"/>
                <w:color w:val="000000"/>
              </w:rPr>
              <w:t xml:space="preserve"> uzupełniającymi metody molekularne. </w:t>
            </w: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Moduł ma także na celu zapoznanie Studentów z głównymi regulacjami prawnymi dotyczącymi zafałszowań żywności. </w:t>
            </w:r>
          </w:p>
        </w:tc>
      </w:tr>
      <w:tr w:rsidR="0072344B">
        <w:trPr>
          <w:cantSplit/>
          <w:trHeight w:val="236"/>
        </w:trPr>
        <w:tc>
          <w:tcPr>
            <w:tcW w:w="3942" w:type="dxa"/>
            <w:vMerge w:val="restart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72344B">
        <w:trPr>
          <w:cantSplit/>
          <w:trHeight w:val="233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1. Student ma wiedzę na temat </w:t>
            </w:r>
            <w:proofErr w:type="gramStart"/>
            <w:r>
              <w:rPr>
                <w:rFonts w:cs="Times New Roman"/>
                <w:color w:val="000000"/>
              </w:rPr>
              <w:t>tego jakie</w:t>
            </w:r>
            <w:proofErr w:type="gramEnd"/>
            <w:r>
              <w:rPr>
                <w:rFonts w:cs="Times New Roman"/>
                <w:color w:val="000000"/>
              </w:rPr>
              <w:t xml:space="preserve"> zagrożenia niesie ze sobą proceder fałszowania żywności</w:t>
            </w:r>
          </w:p>
        </w:tc>
      </w:tr>
      <w:tr w:rsidR="0072344B">
        <w:trPr>
          <w:cantSplit/>
          <w:trHeight w:val="816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posiada wiedzę z zakresu metod molekularnych używanych do wykrywania zafałszowań żywności</w:t>
            </w:r>
          </w:p>
        </w:tc>
      </w:tr>
      <w:tr w:rsidR="0072344B">
        <w:trPr>
          <w:cantSplit/>
          <w:trHeight w:val="233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72344B">
        <w:trPr>
          <w:cantSplit/>
          <w:trHeight w:val="233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1.Student potrafi scharakteryzować i porównać metody stosowane w detekcji zafałszowań żywności</w:t>
            </w:r>
          </w:p>
        </w:tc>
      </w:tr>
      <w:tr w:rsidR="0072344B">
        <w:trPr>
          <w:cantSplit/>
          <w:trHeight w:val="889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</w:t>
            </w:r>
            <w:proofErr w:type="gramStart"/>
            <w:r>
              <w:rPr>
                <w:rFonts w:cs="Times New Roman"/>
                <w:color w:val="000000"/>
              </w:rPr>
              <w:t>potrafi  zaproponować</w:t>
            </w:r>
            <w:proofErr w:type="gramEnd"/>
            <w:r>
              <w:rPr>
                <w:rFonts w:cs="Times New Roman"/>
                <w:color w:val="000000"/>
              </w:rPr>
              <w:t xml:space="preserve"> sposób zaprojektowania i optymalizacji metody badawczej na przykładzie metody PCR </w:t>
            </w:r>
          </w:p>
        </w:tc>
      </w:tr>
      <w:tr w:rsidR="0072344B">
        <w:trPr>
          <w:cantSplit/>
          <w:trHeight w:val="754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 Student potrafi korzystać z odpowiednich baz danych i narzędzi </w:t>
            </w:r>
            <w:proofErr w:type="spellStart"/>
            <w:r>
              <w:rPr>
                <w:rFonts w:cs="Times New Roman"/>
                <w:color w:val="000000"/>
              </w:rPr>
              <w:t>bioinformatycznych</w:t>
            </w:r>
            <w:proofErr w:type="spellEnd"/>
            <w:r>
              <w:rPr>
                <w:rFonts w:cs="Times New Roman"/>
                <w:color w:val="000000"/>
              </w:rPr>
              <w:t xml:space="preserve"> wspomagających wykrywanie zafałszowań żywności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2344B">
        <w:trPr>
          <w:cantSplit/>
          <w:trHeight w:val="233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72344B">
        <w:trPr>
          <w:cantSplit/>
          <w:trHeight w:val="233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72344B">
        <w:trPr>
          <w:cantSplit/>
          <w:trHeight w:val="540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jest świadom zalet i ograniczeń poszczególnych metod molekularnych </w:t>
            </w:r>
          </w:p>
        </w:tc>
      </w:tr>
      <w:tr w:rsidR="0072344B">
        <w:trPr>
          <w:cantSplit/>
          <w:trHeight w:val="551"/>
        </w:trPr>
        <w:tc>
          <w:tcPr>
            <w:tcW w:w="3942" w:type="dxa"/>
            <w:vMerge/>
          </w:tcPr>
          <w:p w:rsidR="0072344B" w:rsidRDefault="00723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jest świadom zagrożeń związanych z procederem fałszowania żywności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Historia zafałszowań żywności, przyczyny, rodzaje i skutki fałszowania żywności</w:t>
            </w:r>
          </w:p>
          <w:p w:rsidR="0072344B" w:rsidRDefault="00FF6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Przegląd metod analitycznych wykorzystywanych do wykrywania zafałszowań żywności</w:t>
            </w:r>
          </w:p>
          <w:p w:rsidR="0072344B" w:rsidRDefault="00FF6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Metody molekularne stosowane w wykrywaniu zafałszowań – metody jakościowe i ilościowe</w:t>
            </w:r>
          </w:p>
          <w:p w:rsidR="0072344B" w:rsidRDefault="00FF6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Techniki sekwencjonowania i metody </w:t>
            </w:r>
            <w:proofErr w:type="spellStart"/>
            <w:r>
              <w:rPr>
                <w:rFonts w:cs="Times New Roman"/>
                <w:color w:val="000000"/>
              </w:rPr>
              <w:t>bioinformatyczne</w:t>
            </w:r>
            <w:proofErr w:type="spellEnd"/>
          </w:p>
          <w:p w:rsidR="0072344B" w:rsidRDefault="00FF6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Praca z bazami </w:t>
            </w:r>
            <w:proofErr w:type="spellStart"/>
            <w:r>
              <w:rPr>
                <w:rFonts w:cs="Times New Roman"/>
                <w:color w:val="000000"/>
              </w:rPr>
              <w:t>GenBank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Ensembl</w:t>
            </w:r>
            <w:proofErr w:type="spellEnd"/>
            <w:r>
              <w:rPr>
                <w:rFonts w:cs="Times New Roman"/>
                <w:color w:val="000000"/>
              </w:rPr>
              <w:t xml:space="preserve"> i programami Blast, Primer3, </w:t>
            </w:r>
            <w:proofErr w:type="spellStart"/>
            <w:r>
              <w:rPr>
                <w:rFonts w:cs="Times New Roman"/>
                <w:color w:val="000000"/>
              </w:rPr>
              <w:t>Primer</w:t>
            </w:r>
            <w:proofErr w:type="spellEnd"/>
            <w:r>
              <w:rPr>
                <w:rFonts w:cs="Times New Roman"/>
                <w:color w:val="000000"/>
              </w:rPr>
              <w:t xml:space="preserve">-Blast, projektowanie analiz </w:t>
            </w:r>
            <w:r>
              <w:rPr>
                <w:rFonts w:cs="Times New Roman"/>
                <w:i/>
                <w:color w:val="000000"/>
              </w:rPr>
              <w:t xml:space="preserve">in </w:t>
            </w:r>
            <w:proofErr w:type="spellStart"/>
            <w:r>
              <w:rPr>
                <w:rFonts w:cs="Times New Roman"/>
                <w:i/>
                <w:color w:val="000000"/>
              </w:rPr>
              <w:t>silico</w:t>
            </w:r>
            <w:proofErr w:type="spellEnd"/>
          </w:p>
          <w:p w:rsidR="0072344B" w:rsidRDefault="00FF6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Zasady projektowania i optymalizacji metody molekularnej na przykładzie metody PCR</w:t>
            </w:r>
          </w:p>
          <w:p w:rsidR="0072344B" w:rsidRDefault="00FF6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Omówienie zalet i ograniczeń poszczególnych metod 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72344B" w:rsidRDefault="00FF6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Kowalczyk</w:t>
            </w:r>
            <w:r>
              <w:rPr>
                <w:rFonts w:cs="Times New Roman"/>
                <w:i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S.: Bezpieczeństwo i jakość żywności. Wydawnictwo Naukowe PWN, Warszawa 2016</w:t>
            </w:r>
          </w:p>
          <w:p w:rsidR="0072344B" w:rsidRDefault="00FF6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Sawicki, W.: Techniki molekularne w analizie zafałszowań </w:t>
            </w:r>
            <w:proofErr w:type="gramStart"/>
            <w:r>
              <w:rPr>
                <w:rFonts w:cs="Times New Roman"/>
                <w:color w:val="000000"/>
              </w:rPr>
              <w:t>żywności,  Wydawnictwo</w:t>
            </w:r>
            <w:proofErr w:type="gramEnd"/>
            <w:r>
              <w:rPr>
                <w:rFonts w:cs="Times New Roman"/>
                <w:color w:val="000000"/>
              </w:rPr>
              <w:t xml:space="preserve"> Uczelniane Zachodniopomorskiego Uniwersytetu Technologicznego, Szczecin 2016</w:t>
            </w:r>
          </w:p>
          <w:p w:rsidR="0072344B" w:rsidRDefault="00FF6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Lewandowska-</w:t>
            </w:r>
            <w:proofErr w:type="spellStart"/>
            <w:r>
              <w:rPr>
                <w:rFonts w:cs="Times New Roman"/>
                <w:color w:val="000000"/>
              </w:rPr>
              <w:t>Ronnegren</w:t>
            </w:r>
            <w:proofErr w:type="spellEnd"/>
            <w:r>
              <w:rPr>
                <w:rFonts w:cs="Times New Roman"/>
                <w:color w:val="000000"/>
              </w:rPr>
              <w:t xml:space="preserve"> A. Techniki laboratoryjne w biologii molekularnej, Wydawca: </w:t>
            </w:r>
            <w:proofErr w:type="spellStart"/>
            <w:r>
              <w:rPr>
                <w:rFonts w:cs="Times New Roman"/>
                <w:color w:val="000000"/>
              </w:rPr>
              <w:t>MedPharm</w:t>
            </w:r>
            <w:proofErr w:type="spellEnd"/>
            <w:r>
              <w:rPr>
                <w:rFonts w:cs="Times New Roman"/>
                <w:color w:val="000000"/>
              </w:rPr>
              <w:t>, 2017</w:t>
            </w:r>
          </w:p>
          <w:p w:rsidR="0072344B" w:rsidRPr="009229EB" w:rsidRDefault="00FF6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9229EB">
              <w:rPr>
                <w:rFonts w:cs="Times New Roman"/>
                <w:color w:val="000000"/>
                <w:lang w:val="en-GB"/>
              </w:rPr>
              <w:t xml:space="preserve">Bansal, S., Singh, A., </w:t>
            </w:r>
            <w:proofErr w:type="spellStart"/>
            <w:r w:rsidRPr="009229EB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r w:rsidRPr="009229EB">
              <w:rPr>
                <w:rFonts w:cs="Times New Roman"/>
                <w:color w:val="000000"/>
                <w:lang w:val="en-GB"/>
              </w:rPr>
              <w:t xml:space="preserve">, M., </w:t>
            </w:r>
            <w:proofErr w:type="spellStart"/>
            <w:proofErr w:type="gramStart"/>
            <w:r w:rsidRPr="009229EB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proofErr w:type="gramEnd"/>
            <w:r w:rsidRPr="009229EB">
              <w:rPr>
                <w:rFonts w:cs="Times New Roman"/>
                <w:color w:val="000000"/>
                <w:lang w:val="en-GB"/>
              </w:rPr>
              <w:t xml:space="preserve">, A. K., &amp; Kumar, S. (2017). Food adulteration: Sources, health risks, and detection methods. </w:t>
            </w:r>
            <w:r w:rsidRPr="009229EB">
              <w:rPr>
                <w:rFonts w:cs="Times New Roman"/>
                <w:i/>
                <w:color w:val="000000"/>
                <w:lang w:val="en-GB"/>
              </w:rPr>
              <w:t>Critical reviews in food science and nutrition</w:t>
            </w:r>
            <w:r w:rsidRPr="009229EB">
              <w:rPr>
                <w:rFonts w:cs="Times New Roman"/>
                <w:color w:val="000000"/>
                <w:lang w:val="en-GB"/>
              </w:rPr>
              <w:t xml:space="preserve">, </w:t>
            </w:r>
            <w:r w:rsidRPr="009229EB">
              <w:rPr>
                <w:rFonts w:cs="Times New Roman"/>
                <w:i/>
                <w:color w:val="000000"/>
                <w:lang w:val="en-GB"/>
              </w:rPr>
              <w:t>57</w:t>
            </w:r>
            <w:r w:rsidRPr="009229EB">
              <w:rPr>
                <w:rFonts w:cs="Times New Roman"/>
                <w:color w:val="000000"/>
                <w:lang w:val="en-GB"/>
              </w:rPr>
              <w:t>(6), 1174-1189.</w:t>
            </w:r>
          </w:p>
          <w:p w:rsidR="0072344B" w:rsidRDefault="00FF6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9229EB">
              <w:rPr>
                <w:rFonts w:cs="Times New Roman"/>
                <w:color w:val="000000"/>
                <w:lang w:val="en-GB"/>
              </w:rPr>
              <w:t xml:space="preserve">Burns, M., Foster, L., &amp; Walker, M. (Eds.). (2019). </w:t>
            </w:r>
            <w:r w:rsidRPr="009229EB">
              <w:rPr>
                <w:rFonts w:cs="Times New Roman"/>
                <w:i/>
                <w:color w:val="000000"/>
                <w:lang w:val="en-GB"/>
              </w:rPr>
              <w:t>DNA techniques to verify food authenticity: applications in food fraud</w:t>
            </w:r>
            <w:r w:rsidRPr="009229EB">
              <w:rPr>
                <w:rFonts w:cs="Times New Roman"/>
                <w:color w:val="000000"/>
                <w:lang w:val="en-GB"/>
              </w:rPr>
              <w:t xml:space="preserve"> (Vol. 16). </w:t>
            </w:r>
            <w:proofErr w:type="spellStart"/>
            <w:r>
              <w:rPr>
                <w:rFonts w:cs="Times New Roman"/>
                <w:color w:val="000000"/>
              </w:rPr>
              <w:t>Royal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Society</w:t>
            </w:r>
            <w:proofErr w:type="spellEnd"/>
            <w:r>
              <w:rPr>
                <w:rFonts w:cs="Times New Roman"/>
                <w:color w:val="000000"/>
              </w:rPr>
              <w:t xml:space="preserve"> of </w:t>
            </w:r>
            <w:proofErr w:type="spellStart"/>
            <w:r>
              <w:rPr>
                <w:rFonts w:cs="Times New Roman"/>
                <w:color w:val="000000"/>
              </w:rPr>
              <w:t>Chemistry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Planowane formy/działania/metody dydaktyczne</w:t>
            </w:r>
          </w:p>
        </w:tc>
        <w:tc>
          <w:tcPr>
            <w:tcW w:w="5344" w:type="dxa"/>
          </w:tcPr>
          <w:p w:rsidR="0072344B" w:rsidRDefault="00FF6F2C" w:rsidP="0092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  <w:bookmarkStart w:id="0" w:name="_GoBack"/>
            <w:bookmarkEnd w:id="0"/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>
              <w:rPr>
                <w:rFonts w:cs="Times New Roman"/>
                <w:color w:val="000000"/>
              </w:rPr>
              <w:t>kształcenia  (wynik</w:t>
            </w:r>
            <w:proofErr w:type="gramEnd"/>
            <w:r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U1, U2, U3 – udział w ćwiczeniach, wykonanie kart pracy z ćwiczeń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K1, K2 - aktywny udział w zajęciach, zabieranie głosu w dyskusji, zespołowa praca w trakcie ćwiczeń.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lista obecności, prace zaliczeniowe z części ćwiczeniowej i wykładowej, karty pracy z </w:t>
            </w:r>
            <w:proofErr w:type="gramStart"/>
            <w:r>
              <w:rPr>
                <w:rFonts w:cs="Times New Roman"/>
                <w:color w:val="000000"/>
              </w:rPr>
              <w:t>ćwiczeń  (archiwizowane</w:t>
            </w:r>
            <w:proofErr w:type="gramEnd"/>
            <w:r>
              <w:rPr>
                <w:rFonts w:cs="Times New Roman"/>
                <w:color w:val="000000"/>
              </w:rPr>
              <w:t xml:space="preserve"> w formie papierowej)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72344B" w:rsidRDefault="00FF6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2344B" w:rsidRDefault="00FF6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2344B" w:rsidRDefault="00FF6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72344B" w:rsidRDefault="00FF6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72344B" w:rsidRDefault="00FF6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(odpowiednio – jego części).</w:t>
            </w:r>
          </w:p>
        </w:tc>
      </w:tr>
      <w:tr w:rsidR="0072344B"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Elementy i wagi mające wpływ na ocenę końcową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z ćwiczeń = 70% zaliczenie materiału ćwiczeniowego + 30% ocena sprawozdań</w:t>
            </w:r>
          </w:p>
          <w:p w:rsidR="0072344B" w:rsidRDefault="0072344B">
            <w:pPr>
              <w:ind w:left="0" w:hanging="2"/>
              <w:jc w:val="both"/>
              <w:rPr>
                <w:rFonts w:cs="Times New Roman"/>
              </w:rPr>
            </w:pPr>
          </w:p>
          <w:p w:rsidR="0072344B" w:rsidRDefault="00FF6F2C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końcowa = 50% ocena z zaliczenia materiału wykładowego + 50% ocena z ćwiczeń</w:t>
            </w:r>
          </w:p>
          <w:p w:rsidR="0072344B" w:rsidRDefault="0072344B">
            <w:pPr>
              <w:ind w:left="0" w:hanging="2"/>
              <w:jc w:val="both"/>
              <w:rPr>
                <w:rFonts w:cs="Times New Roman"/>
              </w:rPr>
            </w:pPr>
          </w:p>
          <w:p w:rsidR="0072344B" w:rsidRDefault="00FF6F2C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Warunki te są przedstawiane na pierwszych zajęciach z modułu.</w:t>
            </w:r>
          </w:p>
        </w:tc>
      </w:tr>
      <w:tr w:rsidR="0072344B">
        <w:trPr>
          <w:trHeight w:val="2324"/>
        </w:trPr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Bilans punktów ECTS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Formy zajęć: </w:t>
            </w: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Kontaktowe</w:t>
            </w:r>
          </w:p>
          <w:p w:rsidR="0072344B" w:rsidRDefault="00FF6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(5 godz./0,2 ECTS), </w:t>
            </w:r>
          </w:p>
          <w:p w:rsidR="0072344B" w:rsidRDefault="00FF6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(10 godz./0,4 ECTS), </w:t>
            </w:r>
          </w:p>
          <w:p w:rsidR="0072344B" w:rsidRDefault="00FF6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 godz./0,04 ECTS), 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Łącznie – 16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godz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/0,64 ECTS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72344B" w:rsidRDefault="00FF6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zajęć (5 godz./0,20 ECTS),</w:t>
            </w:r>
          </w:p>
          <w:p w:rsidR="0072344B" w:rsidRDefault="00FF6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studiowanie literatury (4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godz./0,16  ECTS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),</w:t>
            </w:r>
          </w:p>
          <w:p w:rsidR="0072344B" w:rsidRDefault="0072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9 godz./0,36 ECTS</w:t>
            </w:r>
          </w:p>
        </w:tc>
      </w:tr>
      <w:tr w:rsidR="0072344B">
        <w:trPr>
          <w:trHeight w:val="718"/>
        </w:trPr>
        <w:tc>
          <w:tcPr>
            <w:tcW w:w="3942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72344B" w:rsidRDefault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 wykładach – 5 godz.; ćwiczeniach – 10 godz.; konsultacjach – 1 godz.</w:t>
            </w:r>
          </w:p>
        </w:tc>
      </w:tr>
      <w:tr w:rsidR="00FF6F2C">
        <w:trPr>
          <w:trHeight w:val="718"/>
        </w:trPr>
        <w:tc>
          <w:tcPr>
            <w:tcW w:w="3942" w:type="dxa"/>
          </w:tcPr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kierunkowego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– BC1_W01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–BC1_W13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 – BC1_U09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BC1_ U09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U3 – BC1_U01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 – BC1_K01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K2 – BC1_K03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K3 – BC1_K03</w:t>
            </w: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F6F2C" w:rsidRDefault="00FF6F2C" w:rsidP="00F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InzBC_W02</w:t>
            </w:r>
          </w:p>
        </w:tc>
      </w:tr>
    </w:tbl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2344B" w:rsidRDefault="00723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723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C0" w:rsidRDefault="00FF6F2C">
      <w:pPr>
        <w:spacing w:line="240" w:lineRule="auto"/>
        <w:ind w:left="0" w:hanging="2"/>
      </w:pPr>
      <w:r>
        <w:separator/>
      </w:r>
    </w:p>
  </w:endnote>
  <w:endnote w:type="continuationSeparator" w:id="0">
    <w:p w:rsidR="006F4EC0" w:rsidRDefault="00FF6F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2C" w:rsidRDefault="00FF6F2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B" w:rsidRDefault="00FF6F2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9229EB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 w:rsidR="009229EB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72344B" w:rsidRDefault="007234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2C" w:rsidRDefault="00FF6F2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C0" w:rsidRDefault="00FF6F2C">
      <w:pPr>
        <w:spacing w:line="240" w:lineRule="auto"/>
        <w:ind w:left="0" w:hanging="2"/>
      </w:pPr>
      <w:r>
        <w:separator/>
      </w:r>
    </w:p>
  </w:footnote>
  <w:footnote w:type="continuationSeparator" w:id="0">
    <w:p w:rsidR="006F4EC0" w:rsidRDefault="00FF6F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2C" w:rsidRDefault="00FF6F2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2C" w:rsidRDefault="00FF6F2C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B" w:rsidRDefault="007234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610"/>
    <w:multiLevelType w:val="multilevel"/>
    <w:tmpl w:val="882EBB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CC14B0E"/>
    <w:multiLevelType w:val="multilevel"/>
    <w:tmpl w:val="5AE8F3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777A5378"/>
    <w:multiLevelType w:val="multilevel"/>
    <w:tmpl w:val="CDEC83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C017E4E"/>
    <w:multiLevelType w:val="multilevel"/>
    <w:tmpl w:val="9CA8572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4B"/>
    <w:rsid w:val="006F4EC0"/>
    <w:rsid w:val="0072344B"/>
    <w:rsid w:val="009229E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DyXE6yBnUtDV6Jpl5redIyl+w==">CgMxLjA4AHIhMVNOMklqR3BHQVA4MFM3YTJaR3o3VEh3U05IWGNoTWlq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2024-11-14T11:16:00Z</dcterms:created>
  <dcterms:modified xsi:type="dcterms:W3CDTF">2024-12-04T11:48:00Z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