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7B" w:rsidRDefault="00B85B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B85B7B" w:rsidRDefault="00AF7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Karta opisu zajęć (sylabus)</w:t>
      </w:r>
    </w:p>
    <w:p w:rsidR="00B85B7B" w:rsidRDefault="00B85B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tbl>
      <w:tblPr>
        <w:tblStyle w:val="a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B85B7B">
        <w:tc>
          <w:tcPr>
            <w:tcW w:w="3942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Nazwa kierunku studiów</w:t>
            </w:r>
          </w:p>
          <w:p w:rsidR="00B85B7B" w:rsidRDefault="00B8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Bezpieczeństwo i certyfikacja żywności</w:t>
            </w:r>
          </w:p>
        </w:tc>
      </w:tr>
      <w:tr w:rsidR="00B85B7B">
        <w:tc>
          <w:tcPr>
            <w:tcW w:w="3942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Nazwa modułu, także nazwa w języku angielskim</w:t>
            </w:r>
          </w:p>
        </w:tc>
        <w:tc>
          <w:tcPr>
            <w:tcW w:w="5344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Żywność modyfikowana genetycznie </w:t>
            </w:r>
          </w:p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Genetically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modified</w:t>
            </w:r>
            <w:proofErr w:type="spellEnd"/>
            <w:r>
              <w:rPr>
                <w:rFonts w:cs="Times New Roman"/>
                <w:color w:val="000000"/>
              </w:rPr>
              <w:t xml:space="preserve"> food</w:t>
            </w:r>
          </w:p>
        </w:tc>
      </w:tr>
      <w:tr w:rsidR="00B85B7B">
        <w:tc>
          <w:tcPr>
            <w:tcW w:w="3942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Język wykładowy</w:t>
            </w:r>
          </w:p>
          <w:p w:rsidR="00B85B7B" w:rsidRDefault="00B8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angielski</w:t>
            </w:r>
            <w:proofErr w:type="gramEnd"/>
          </w:p>
        </w:tc>
      </w:tr>
      <w:tr w:rsidR="00B85B7B">
        <w:tc>
          <w:tcPr>
            <w:tcW w:w="3942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Rodzaj modułu</w:t>
            </w:r>
          </w:p>
          <w:p w:rsidR="00B85B7B" w:rsidRDefault="00B8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fakultatywny</w:t>
            </w:r>
            <w:proofErr w:type="gramEnd"/>
          </w:p>
        </w:tc>
      </w:tr>
      <w:tr w:rsidR="00B85B7B">
        <w:tc>
          <w:tcPr>
            <w:tcW w:w="3942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Poziom studiów</w:t>
            </w:r>
          </w:p>
        </w:tc>
        <w:tc>
          <w:tcPr>
            <w:tcW w:w="5344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pierwszego</w:t>
            </w:r>
            <w:proofErr w:type="gramEnd"/>
            <w:r>
              <w:rPr>
                <w:rFonts w:cs="Times New Roman"/>
                <w:color w:val="000000"/>
              </w:rPr>
              <w:t xml:space="preserve"> stopnia</w:t>
            </w:r>
          </w:p>
        </w:tc>
      </w:tr>
      <w:tr w:rsidR="00B85B7B">
        <w:tc>
          <w:tcPr>
            <w:tcW w:w="3942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Forma studiów</w:t>
            </w:r>
          </w:p>
          <w:p w:rsidR="00B85B7B" w:rsidRDefault="00B8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niestacjonarne</w:t>
            </w:r>
            <w:proofErr w:type="gramEnd"/>
          </w:p>
        </w:tc>
      </w:tr>
      <w:tr w:rsidR="00B85B7B">
        <w:tc>
          <w:tcPr>
            <w:tcW w:w="3942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Rok studiów dla kierunku</w:t>
            </w:r>
          </w:p>
        </w:tc>
        <w:tc>
          <w:tcPr>
            <w:tcW w:w="5344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IV</w:t>
            </w:r>
          </w:p>
        </w:tc>
      </w:tr>
      <w:tr w:rsidR="00B85B7B">
        <w:tc>
          <w:tcPr>
            <w:tcW w:w="3942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Semestr dla kierunku</w:t>
            </w:r>
          </w:p>
        </w:tc>
        <w:tc>
          <w:tcPr>
            <w:tcW w:w="5344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</w:tr>
      <w:tr w:rsidR="00B85B7B">
        <w:tc>
          <w:tcPr>
            <w:tcW w:w="3942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Liczba punktów ECTS z podziałem na kontaktowe/</w:t>
            </w:r>
            <w:proofErr w:type="spellStart"/>
            <w:r>
              <w:rPr>
                <w:rFonts w:cs="Times New Roman"/>
                <w:color w:val="000000"/>
              </w:rPr>
              <w:t>niekontaktowe</w:t>
            </w:r>
            <w:proofErr w:type="spellEnd"/>
          </w:p>
        </w:tc>
        <w:tc>
          <w:tcPr>
            <w:tcW w:w="5344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 (0,64/0,36)</w:t>
            </w:r>
          </w:p>
        </w:tc>
      </w:tr>
      <w:tr w:rsidR="00B85B7B">
        <w:tc>
          <w:tcPr>
            <w:tcW w:w="3942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Tytuł naukowy/stopień naukowy, imię i nazwisko osoby odpowiedzialnej za moduł</w:t>
            </w:r>
          </w:p>
        </w:tc>
        <w:tc>
          <w:tcPr>
            <w:tcW w:w="5344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dr</w:t>
            </w:r>
            <w:proofErr w:type="gramEnd"/>
            <w:r>
              <w:rPr>
                <w:rFonts w:cs="Times New Roman"/>
                <w:color w:val="000000"/>
              </w:rPr>
              <w:t xml:space="preserve"> inż. Marek Kowalczyk</w:t>
            </w:r>
          </w:p>
        </w:tc>
      </w:tr>
      <w:tr w:rsidR="00B85B7B">
        <w:tc>
          <w:tcPr>
            <w:tcW w:w="3942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Jednostka oferująca moduł</w:t>
            </w:r>
          </w:p>
          <w:p w:rsidR="00B85B7B" w:rsidRDefault="00B8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Katedra </w:t>
            </w:r>
            <w:proofErr w:type="gramStart"/>
            <w:r>
              <w:rPr>
                <w:rFonts w:cs="Times New Roman"/>
                <w:color w:val="000000"/>
              </w:rPr>
              <w:t>Oceny Jakości</w:t>
            </w:r>
            <w:proofErr w:type="gramEnd"/>
            <w:r>
              <w:rPr>
                <w:rFonts w:cs="Times New Roman"/>
                <w:color w:val="000000"/>
              </w:rPr>
              <w:t xml:space="preserve"> i Przetwórstwa </w:t>
            </w:r>
          </w:p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Produktów Zwierzęcych</w:t>
            </w:r>
          </w:p>
        </w:tc>
      </w:tr>
      <w:tr w:rsidR="00B85B7B">
        <w:tc>
          <w:tcPr>
            <w:tcW w:w="3942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Cel modułu</w:t>
            </w:r>
          </w:p>
          <w:p w:rsidR="00B85B7B" w:rsidRDefault="00B8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Celem modułu jest zapoznanie Studentów z zagadnieniami dotyczącymi korzyści i zagrożeń związanych z żywnością i organizmami modyfikowanymi genetycznie. Omówienie regulacji prawnych dotyczących obrotu GMO w Unii Europejskiej.  Przedstawienie przykładów żywności modyfikowanej znajdującej się w obrocie. Omówienie technik wykorzystywanych do otrzymywania i </w:t>
            </w:r>
            <w:proofErr w:type="gramStart"/>
            <w:r>
              <w:rPr>
                <w:rFonts w:cs="Times New Roman"/>
                <w:color w:val="000000"/>
              </w:rPr>
              <w:t>detekcji  organizmów</w:t>
            </w:r>
            <w:proofErr w:type="gramEnd"/>
            <w:r>
              <w:rPr>
                <w:rFonts w:cs="Times New Roman"/>
                <w:color w:val="000000"/>
              </w:rPr>
              <w:t xml:space="preserve"> modyfikowanych genetycznie. </w:t>
            </w:r>
          </w:p>
        </w:tc>
      </w:tr>
      <w:tr w:rsidR="00B85B7B">
        <w:trPr>
          <w:cantSplit/>
          <w:trHeight w:val="236"/>
        </w:trPr>
        <w:tc>
          <w:tcPr>
            <w:tcW w:w="3942" w:type="dxa"/>
            <w:vMerge w:val="restart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Wiedza: </w:t>
            </w:r>
          </w:p>
        </w:tc>
      </w:tr>
      <w:tr w:rsidR="00B85B7B">
        <w:trPr>
          <w:cantSplit/>
          <w:trHeight w:val="233"/>
        </w:trPr>
        <w:tc>
          <w:tcPr>
            <w:tcW w:w="3942" w:type="dxa"/>
            <w:vMerge/>
          </w:tcPr>
          <w:p w:rsidR="00B85B7B" w:rsidRDefault="00B85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 Student zna i rozumie korzyści i zagrożenia wynikające ze stosowania żywności modyfikowanej genetycznie.</w:t>
            </w:r>
          </w:p>
        </w:tc>
      </w:tr>
      <w:tr w:rsidR="00B85B7B">
        <w:trPr>
          <w:cantSplit/>
          <w:trHeight w:val="233"/>
        </w:trPr>
        <w:tc>
          <w:tcPr>
            <w:tcW w:w="3942" w:type="dxa"/>
            <w:vMerge/>
          </w:tcPr>
          <w:p w:rsidR="00B85B7B" w:rsidRDefault="00B85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 Student posiada wiedzę na temat metod pozwalających na wykrywanie GMO w żywności.</w:t>
            </w:r>
          </w:p>
        </w:tc>
      </w:tr>
      <w:tr w:rsidR="00B85B7B">
        <w:trPr>
          <w:cantSplit/>
          <w:trHeight w:val="233"/>
        </w:trPr>
        <w:tc>
          <w:tcPr>
            <w:tcW w:w="3942" w:type="dxa"/>
            <w:vMerge/>
          </w:tcPr>
          <w:p w:rsidR="00B85B7B" w:rsidRDefault="00B85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3. Student posiada wiedzę na temat najbardziej powszechnych modyfikacji genetycznych żywności będącej w obrocie.</w:t>
            </w:r>
          </w:p>
        </w:tc>
      </w:tr>
      <w:tr w:rsidR="00B85B7B">
        <w:trPr>
          <w:cantSplit/>
          <w:trHeight w:val="233"/>
        </w:trPr>
        <w:tc>
          <w:tcPr>
            <w:tcW w:w="3942" w:type="dxa"/>
            <w:vMerge/>
          </w:tcPr>
          <w:p w:rsidR="00B85B7B" w:rsidRDefault="00B85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Umiejętności:</w:t>
            </w:r>
          </w:p>
        </w:tc>
      </w:tr>
      <w:tr w:rsidR="00B85B7B">
        <w:trPr>
          <w:cantSplit/>
          <w:trHeight w:val="233"/>
        </w:trPr>
        <w:tc>
          <w:tcPr>
            <w:tcW w:w="3942" w:type="dxa"/>
            <w:vMerge/>
          </w:tcPr>
          <w:p w:rsidR="00B85B7B" w:rsidRDefault="00B85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1.Student potrafi korzystać z baz danych i aktów prawnych zawierających informacje na temat organizmów i żywności modyfikowanej</w:t>
            </w:r>
          </w:p>
        </w:tc>
      </w:tr>
      <w:tr w:rsidR="00B85B7B">
        <w:trPr>
          <w:cantSplit/>
          <w:trHeight w:val="233"/>
        </w:trPr>
        <w:tc>
          <w:tcPr>
            <w:tcW w:w="3942" w:type="dxa"/>
            <w:vMerge/>
          </w:tcPr>
          <w:p w:rsidR="00B85B7B" w:rsidRDefault="00B85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2. Student potrafi wykorzystać i konfrontować dostępne źródła informacji o GMO oraz wyciągać wnioski w oparciu o uzyskane dane.  </w:t>
            </w:r>
          </w:p>
        </w:tc>
      </w:tr>
      <w:tr w:rsidR="00B85B7B">
        <w:trPr>
          <w:cantSplit/>
          <w:trHeight w:val="233"/>
        </w:trPr>
        <w:tc>
          <w:tcPr>
            <w:tcW w:w="3942" w:type="dxa"/>
            <w:vMerge/>
          </w:tcPr>
          <w:p w:rsidR="00B85B7B" w:rsidRDefault="00B85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3. Student potrafi zaproponować i scharakteryzować metody wykorzystywane do wykrywania GMO w żywności</w:t>
            </w:r>
          </w:p>
        </w:tc>
      </w:tr>
      <w:tr w:rsidR="00B85B7B">
        <w:trPr>
          <w:cantSplit/>
          <w:trHeight w:val="233"/>
        </w:trPr>
        <w:tc>
          <w:tcPr>
            <w:tcW w:w="3942" w:type="dxa"/>
            <w:vMerge/>
          </w:tcPr>
          <w:p w:rsidR="00B85B7B" w:rsidRDefault="00B85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Kompetencje społeczne:</w:t>
            </w:r>
          </w:p>
        </w:tc>
      </w:tr>
      <w:tr w:rsidR="00B85B7B">
        <w:trPr>
          <w:cantSplit/>
          <w:trHeight w:val="233"/>
        </w:trPr>
        <w:tc>
          <w:tcPr>
            <w:tcW w:w="3942" w:type="dxa"/>
            <w:vMerge/>
          </w:tcPr>
          <w:p w:rsidR="00B85B7B" w:rsidRDefault="00B85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 Student jest świadom konieczności ciągłego poszerzania wiedzy</w:t>
            </w:r>
          </w:p>
        </w:tc>
      </w:tr>
      <w:tr w:rsidR="00B85B7B">
        <w:trPr>
          <w:cantSplit/>
          <w:trHeight w:val="233"/>
        </w:trPr>
        <w:tc>
          <w:tcPr>
            <w:tcW w:w="3942" w:type="dxa"/>
            <w:vMerge/>
          </w:tcPr>
          <w:p w:rsidR="00B85B7B" w:rsidRDefault="00B85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 Student jest świadom zalet i ograniczeń wynikających z wprowadzenia do obrotu żywności modyfikowanej</w:t>
            </w:r>
          </w:p>
        </w:tc>
      </w:tr>
      <w:tr w:rsidR="00B85B7B">
        <w:tc>
          <w:tcPr>
            <w:tcW w:w="3942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Wymagania wstępne i dodatkowe </w:t>
            </w:r>
          </w:p>
        </w:tc>
        <w:tc>
          <w:tcPr>
            <w:tcW w:w="5344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Ukończone przedmioty - Genetyka, Biologia molekularna</w:t>
            </w:r>
          </w:p>
        </w:tc>
      </w:tr>
      <w:tr w:rsidR="00B85B7B">
        <w:tc>
          <w:tcPr>
            <w:tcW w:w="3942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Treści programowe modułu </w:t>
            </w:r>
          </w:p>
          <w:p w:rsidR="00B85B7B" w:rsidRDefault="00B8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B85B7B" w:rsidRDefault="00AF7B1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Żywność modyfikowana genetycznie – historia, omówienie głównych kierunków modyfikacji genetycznych</w:t>
            </w:r>
          </w:p>
          <w:p w:rsidR="00B85B7B" w:rsidRDefault="00AF7B1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Regulacje prawne, znakowanie żywności modyfikowanej, bazy informacji o GMO.</w:t>
            </w:r>
          </w:p>
          <w:p w:rsidR="00B85B7B" w:rsidRDefault="00AF7B1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Rola GMO we współczesnej produkcji i technologii żywności. </w:t>
            </w:r>
          </w:p>
          <w:p w:rsidR="00B85B7B" w:rsidRDefault="00AF7B1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Zdrowotne i środowiskowe korzyści i zagrożenia związane z GMO. </w:t>
            </w:r>
          </w:p>
          <w:p w:rsidR="00B85B7B" w:rsidRDefault="00AF7B1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Metody wykrywania i otrzymywania organizmów i żywności genetycznie modyfikowanej. </w:t>
            </w:r>
          </w:p>
        </w:tc>
      </w:tr>
      <w:tr w:rsidR="00B85B7B">
        <w:tc>
          <w:tcPr>
            <w:tcW w:w="3942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Wykaz literatury podstawowej i uzupełniającej</w:t>
            </w:r>
          </w:p>
        </w:tc>
        <w:tc>
          <w:tcPr>
            <w:tcW w:w="5344" w:type="dxa"/>
          </w:tcPr>
          <w:p w:rsidR="00B85B7B" w:rsidRDefault="00AF7B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McHughen</w:t>
            </w:r>
            <w:proofErr w:type="spellEnd"/>
            <w:r>
              <w:rPr>
                <w:rFonts w:cs="Times New Roman"/>
                <w:color w:val="000000"/>
              </w:rPr>
              <w:t xml:space="preserve"> A.: Żywność genetycznie modyfikowana - poradnik konsumenta, Wydawnictwo Naukowo-Techniczne, Warszawa, wyd. II, 2009</w:t>
            </w:r>
          </w:p>
          <w:p w:rsidR="00B85B7B" w:rsidRDefault="00AF7B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Niemirowicz-Szczytt</w:t>
            </w:r>
            <w:proofErr w:type="spellEnd"/>
            <w:r>
              <w:rPr>
                <w:rFonts w:cs="Times New Roman"/>
                <w:color w:val="000000"/>
              </w:rPr>
              <w:t xml:space="preserve"> K. – GMO w świetle najnowszych badań. Wyd. SGGW 2012</w:t>
            </w:r>
          </w:p>
          <w:p w:rsidR="00B85B7B" w:rsidRPr="009D1F90" w:rsidRDefault="00AF7B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lang w:val="en-GB"/>
              </w:rPr>
            </w:pPr>
            <w:r w:rsidRPr="009D1F90">
              <w:rPr>
                <w:rFonts w:cs="Times New Roman"/>
                <w:color w:val="000000"/>
                <w:lang w:val="en-GB"/>
              </w:rPr>
              <w:t xml:space="preserve">Raman, R. (2017). The impact of Genetically Modified (GM) crops in modern agriculture: A review. </w:t>
            </w:r>
            <w:r w:rsidRPr="009D1F90">
              <w:rPr>
                <w:rFonts w:cs="Times New Roman"/>
                <w:i/>
                <w:color w:val="000000"/>
                <w:lang w:val="en-GB"/>
              </w:rPr>
              <w:t>GM crops &amp; food</w:t>
            </w:r>
            <w:r w:rsidRPr="009D1F90">
              <w:rPr>
                <w:rFonts w:cs="Times New Roman"/>
                <w:color w:val="000000"/>
                <w:lang w:val="en-GB"/>
              </w:rPr>
              <w:t xml:space="preserve">, </w:t>
            </w:r>
            <w:r w:rsidRPr="009D1F90">
              <w:rPr>
                <w:rFonts w:cs="Times New Roman"/>
                <w:i/>
                <w:color w:val="000000"/>
                <w:lang w:val="en-GB"/>
              </w:rPr>
              <w:t>8</w:t>
            </w:r>
            <w:r w:rsidRPr="009D1F90">
              <w:rPr>
                <w:rFonts w:cs="Times New Roman"/>
                <w:color w:val="000000"/>
                <w:lang w:val="en-GB"/>
              </w:rPr>
              <w:t>(4), 195-208</w:t>
            </w:r>
          </w:p>
          <w:p w:rsidR="00B85B7B" w:rsidRDefault="00AF7B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Wybrane publikacje naukowe z zakresu GMO</w:t>
            </w:r>
          </w:p>
        </w:tc>
      </w:tr>
      <w:tr w:rsidR="00B85B7B">
        <w:tc>
          <w:tcPr>
            <w:tcW w:w="3942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Planowane formy/działania/metody dydaktyczne</w:t>
            </w:r>
          </w:p>
        </w:tc>
        <w:tc>
          <w:tcPr>
            <w:tcW w:w="5344" w:type="dxa"/>
          </w:tcPr>
          <w:p w:rsidR="00B85B7B" w:rsidRDefault="00AF7B16" w:rsidP="009D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Wykład multimedialny, dyskusja, metody programowe z wykorzystaniem komputera, ćwiczenia w grupach, wykonanie i zaprezentowanie projektu</w:t>
            </w:r>
            <w:bookmarkStart w:id="0" w:name="_GoBack"/>
            <w:bookmarkEnd w:id="0"/>
          </w:p>
        </w:tc>
      </w:tr>
      <w:tr w:rsidR="00B85B7B">
        <w:tc>
          <w:tcPr>
            <w:tcW w:w="3942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Sposoby weryfikacji oraz formy dokumentowania osiągniętych efektów uczenia się</w:t>
            </w:r>
          </w:p>
        </w:tc>
        <w:tc>
          <w:tcPr>
            <w:tcW w:w="5344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cs="Times New Roman"/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B85B7B" w:rsidRDefault="00B8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  <w:u w:val="single"/>
              </w:rPr>
            </w:pPr>
          </w:p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W1, W2, W3 – praca pisemna sprawdzająca wiedzę z zakresu objętego efektami </w:t>
            </w:r>
            <w:proofErr w:type="gramStart"/>
            <w:r>
              <w:rPr>
                <w:rFonts w:cs="Times New Roman"/>
                <w:color w:val="000000"/>
              </w:rPr>
              <w:t>kształcenia  (wynik</w:t>
            </w:r>
            <w:proofErr w:type="gramEnd"/>
            <w:r>
              <w:rPr>
                <w:rFonts w:cs="Times New Roman"/>
                <w:color w:val="000000"/>
              </w:rPr>
              <w:t xml:space="preserve"> pozytywny zaliczenia materiału ćwiczeniowego i wykładowego)</w:t>
            </w:r>
          </w:p>
          <w:p w:rsidR="00B85B7B" w:rsidRDefault="00B8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U1, U2, U3 – udział w ćwiczeniach, wykonanie kart pracy z ćwiczeń, przygotowanie i zaprezentowanie projektu</w:t>
            </w:r>
          </w:p>
          <w:p w:rsidR="00B85B7B" w:rsidRDefault="00B8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K1, K2 - aktywny udział w zajęciach, zabieranie głosu w dyskusji, zespołowa praca przy przygotowaniu i prezentacji projektu oraz w trakcie ćwiczeń.</w:t>
            </w:r>
          </w:p>
          <w:p w:rsidR="00B85B7B" w:rsidRDefault="00B8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Formy dokumentowania osiągniętych wyników: </w:t>
            </w:r>
          </w:p>
          <w:p w:rsidR="00B85B7B" w:rsidRDefault="00B8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lista obecności, prace zaliczeniowe z części ćwiczeniowej i wykładowej, karty pracy z </w:t>
            </w:r>
            <w:proofErr w:type="gramStart"/>
            <w:r>
              <w:rPr>
                <w:rFonts w:cs="Times New Roman"/>
                <w:color w:val="000000"/>
              </w:rPr>
              <w:t>ćwiczeń  (archiwizowane</w:t>
            </w:r>
            <w:proofErr w:type="gramEnd"/>
            <w:r>
              <w:rPr>
                <w:rFonts w:cs="Times New Roman"/>
                <w:color w:val="000000"/>
              </w:rPr>
              <w:t xml:space="preserve"> w formie papierowej)</w:t>
            </w:r>
          </w:p>
          <w:p w:rsidR="00B85B7B" w:rsidRDefault="00B8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projekt</w:t>
            </w:r>
            <w:proofErr w:type="gramEnd"/>
            <w:r>
              <w:rPr>
                <w:rFonts w:cs="Times New Roman"/>
                <w:color w:val="000000"/>
              </w:rPr>
              <w:t xml:space="preserve"> wykonany przez studentów – w formie prezentacji multimedialnej (archiwizowany w formie cyfrowej)</w:t>
            </w:r>
          </w:p>
          <w:p w:rsidR="00B85B7B" w:rsidRDefault="00B8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B85B7B" w:rsidRDefault="00B8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B85B7B" w:rsidRDefault="00AF7B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B85B7B" w:rsidRDefault="00AF7B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B85B7B" w:rsidRDefault="00AF7B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B85B7B" w:rsidRDefault="00AF7B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B85B7B" w:rsidRDefault="00AF7B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B85B7B">
        <w:tc>
          <w:tcPr>
            <w:tcW w:w="3942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Elementy i wagi mające wpływ na ocenę końcową</w:t>
            </w:r>
          </w:p>
          <w:p w:rsidR="00B85B7B" w:rsidRDefault="00B8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B85B7B" w:rsidRDefault="00B8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B85B7B" w:rsidRDefault="00AF7B16">
            <w:pPr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Ocena z ćwiczeń = 70% zaliczenie materiału ćwiczeniowego + 30% ocena prezentacji</w:t>
            </w:r>
          </w:p>
          <w:p w:rsidR="00B85B7B" w:rsidRDefault="00B85B7B">
            <w:pPr>
              <w:ind w:left="0" w:hanging="2"/>
              <w:jc w:val="both"/>
              <w:rPr>
                <w:rFonts w:cs="Times New Roman"/>
              </w:rPr>
            </w:pPr>
          </w:p>
          <w:p w:rsidR="00B85B7B" w:rsidRDefault="00AF7B16">
            <w:pPr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Ocena końcowa = 50% ocena z zaliczenia materiału wykładowego + 50% ocena z ćwiczeń</w:t>
            </w:r>
          </w:p>
          <w:p w:rsidR="00B85B7B" w:rsidRDefault="00B85B7B">
            <w:pPr>
              <w:ind w:left="0" w:hanging="2"/>
              <w:jc w:val="both"/>
              <w:rPr>
                <w:rFonts w:cs="Times New Roman"/>
              </w:rPr>
            </w:pPr>
          </w:p>
          <w:p w:rsidR="00B85B7B" w:rsidRDefault="00AF7B16">
            <w:pPr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Warunki te są przedstawiane na pierwszych zajęciach z modułu.</w:t>
            </w:r>
          </w:p>
        </w:tc>
      </w:tr>
      <w:tr w:rsidR="00B85B7B">
        <w:trPr>
          <w:trHeight w:val="2324"/>
        </w:trPr>
        <w:tc>
          <w:tcPr>
            <w:tcW w:w="3942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Bilans punktów ECTS</w:t>
            </w:r>
          </w:p>
          <w:p w:rsidR="00B85B7B" w:rsidRDefault="00B8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B85B7B" w:rsidRDefault="00B8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5344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Formy zajęć: </w:t>
            </w:r>
          </w:p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Kontaktowe</w:t>
            </w:r>
          </w:p>
          <w:p w:rsidR="00B85B7B" w:rsidRDefault="00AF7B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wykład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(5 godz./0,2 ECTS), </w:t>
            </w:r>
          </w:p>
          <w:p w:rsidR="00B85B7B" w:rsidRDefault="00AF7B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ćwiczenia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(10 godz./0,4 ECTS), </w:t>
            </w:r>
          </w:p>
          <w:p w:rsidR="00B85B7B" w:rsidRDefault="00AF7B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konsultacje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(1 godz./0,04 ECTS), </w:t>
            </w:r>
          </w:p>
          <w:p w:rsidR="00B85B7B" w:rsidRDefault="00B8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</w:p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Łącznie – 16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godz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/0,64 ECTS</w:t>
            </w:r>
          </w:p>
          <w:p w:rsidR="00B85B7B" w:rsidRDefault="00B8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b/>
                <w:color w:val="000000"/>
                <w:sz w:val="22"/>
                <w:szCs w:val="22"/>
              </w:rPr>
              <w:t>Niekontaktowe</w:t>
            </w:r>
            <w:proofErr w:type="spellEnd"/>
          </w:p>
          <w:p w:rsidR="00B85B7B" w:rsidRDefault="00AF7B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do zajęć (3 godz./0,12 ECTS),</w:t>
            </w:r>
          </w:p>
          <w:p w:rsidR="00B85B7B" w:rsidRDefault="00AF7B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studiowanie literatury (3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godz./0,12  ECTS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),</w:t>
            </w:r>
          </w:p>
          <w:p w:rsidR="00B85B7B" w:rsidRDefault="00AF7B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prezentacji (3 godz./0,12 ECTS)</w:t>
            </w:r>
          </w:p>
          <w:p w:rsidR="00B85B7B" w:rsidRDefault="00B8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Łącznie 9 godz./0,36 ECTS</w:t>
            </w:r>
          </w:p>
        </w:tc>
      </w:tr>
      <w:tr w:rsidR="00B85B7B">
        <w:trPr>
          <w:trHeight w:val="718"/>
        </w:trPr>
        <w:tc>
          <w:tcPr>
            <w:tcW w:w="3942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Nakład pracy związany z zajęciami wymagającymi bezpośredniego udziału nauczyciela akademickiego</w:t>
            </w:r>
          </w:p>
        </w:tc>
        <w:tc>
          <w:tcPr>
            <w:tcW w:w="5344" w:type="dxa"/>
          </w:tcPr>
          <w:p w:rsidR="00B85B7B" w:rsidRDefault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udział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 wykładach – 5 godz.; ćwiczeniach – 10 godz.; konsultacjach – 1 godz.</w:t>
            </w:r>
          </w:p>
        </w:tc>
      </w:tr>
      <w:tr w:rsidR="00AF7B16">
        <w:trPr>
          <w:trHeight w:val="718"/>
        </w:trPr>
        <w:tc>
          <w:tcPr>
            <w:tcW w:w="3942" w:type="dxa"/>
          </w:tcPr>
          <w:p w:rsidR="00AF7B16" w:rsidRDefault="00AF7B16" w:rsidP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Odniesienie modułowych efektów uczenia się do kierunkowych efektów uczenia się</w:t>
            </w:r>
          </w:p>
        </w:tc>
        <w:tc>
          <w:tcPr>
            <w:tcW w:w="5344" w:type="dxa"/>
          </w:tcPr>
          <w:p w:rsidR="00AF7B16" w:rsidRDefault="00AF7B16" w:rsidP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Kod efektu modułowego – kod efektu kierunkowego</w:t>
            </w:r>
          </w:p>
          <w:p w:rsidR="00AF7B16" w:rsidRDefault="00AF7B16" w:rsidP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W1 – BC1_W03, BC1_W05</w:t>
            </w:r>
          </w:p>
          <w:p w:rsidR="00AF7B16" w:rsidRDefault="00AF7B16" w:rsidP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W2 – BC1_W03, BC1_W13</w:t>
            </w:r>
          </w:p>
          <w:p w:rsidR="00AF7B16" w:rsidRDefault="00AF7B16" w:rsidP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W3 – BC1_W03, BC1_W12</w:t>
            </w:r>
          </w:p>
          <w:p w:rsidR="00AF7B16" w:rsidRDefault="00AF7B16" w:rsidP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AF7B16" w:rsidRDefault="00AF7B16" w:rsidP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U1 – BC1_U01</w:t>
            </w:r>
          </w:p>
          <w:p w:rsidR="00AF7B16" w:rsidRDefault="00AF7B16" w:rsidP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U2 – BC1_U01, BC1_U02</w:t>
            </w:r>
          </w:p>
          <w:p w:rsidR="00AF7B16" w:rsidRDefault="00AF7B16" w:rsidP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U3 – BC1_U06, BC1_U09</w:t>
            </w:r>
          </w:p>
          <w:p w:rsidR="00AF7B16" w:rsidRDefault="00AF7B16" w:rsidP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AF7B16" w:rsidRDefault="00AF7B16" w:rsidP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K1 – BC1_K01</w:t>
            </w:r>
          </w:p>
          <w:p w:rsidR="00AF7B16" w:rsidRDefault="00AF7B16" w:rsidP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K2 – BC1_K02, BC1_K04</w:t>
            </w:r>
          </w:p>
          <w:p w:rsidR="00AF7B16" w:rsidRDefault="00AF7B16" w:rsidP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AF7B16" w:rsidRDefault="00AF7B16" w:rsidP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W2 – InzBC_W02</w:t>
            </w:r>
          </w:p>
          <w:p w:rsidR="00AF7B16" w:rsidRDefault="00AF7B16" w:rsidP="00AF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U2 – InzBC_U02</w:t>
            </w:r>
          </w:p>
        </w:tc>
      </w:tr>
    </w:tbl>
    <w:p w:rsidR="00B85B7B" w:rsidRDefault="00B85B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B85B7B" w:rsidRDefault="00B85B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B85B7B" w:rsidRDefault="00B85B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B85B7B" w:rsidRDefault="00B85B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B85B7B" w:rsidRDefault="00B85B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B85B7B" w:rsidRDefault="00B85B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B85B7B" w:rsidRDefault="00B85B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sectPr w:rsidR="00B85B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8F7" w:rsidRDefault="00AF7B16">
      <w:pPr>
        <w:spacing w:line="240" w:lineRule="auto"/>
        <w:ind w:left="0" w:hanging="2"/>
      </w:pPr>
      <w:r>
        <w:separator/>
      </w:r>
    </w:p>
  </w:endnote>
  <w:endnote w:type="continuationSeparator" w:id="0">
    <w:p w:rsidR="00EB08F7" w:rsidRDefault="00AF7B1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B16" w:rsidRDefault="00AF7B16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B7B" w:rsidRDefault="00AF7B1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 w:rsidR="009D1F90">
      <w:rPr>
        <w:rFonts w:cs="Times New Roman"/>
        <w:noProof/>
        <w:color w:val="000000"/>
      </w:rPr>
      <w:t>4</w:t>
    </w:r>
    <w:r>
      <w:rPr>
        <w:rFonts w:cs="Times New Roman"/>
        <w:color w:val="000000"/>
      </w:rPr>
      <w:fldChar w:fldCharType="end"/>
    </w:r>
    <w:r>
      <w:rPr>
        <w:rFonts w:cs="Times New Roman"/>
        <w:color w:val="000000"/>
      </w:rPr>
      <w:t>/</w:t>
    </w: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NUMPAGES</w:instrText>
    </w:r>
    <w:r>
      <w:rPr>
        <w:rFonts w:cs="Times New Roman"/>
        <w:color w:val="000000"/>
      </w:rPr>
      <w:fldChar w:fldCharType="separate"/>
    </w:r>
    <w:r w:rsidR="009D1F90">
      <w:rPr>
        <w:rFonts w:cs="Times New Roman"/>
        <w:noProof/>
        <w:color w:val="000000"/>
      </w:rPr>
      <w:t>4</w:t>
    </w:r>
    <w:r>
      <w:rPr>
        <w:rFonts w:cs="Times New Roman"/>
        <w:color w:val="000000"/>
      </w:rPr>
      <w:fldChar w:fldCharType="end"/>
    </w:r>
  </w:p>
  <w:p w:rsidR="00B85B7B" w:rsidRDefault="00B85B7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B16" w:rsidRDefault="00AF7B16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8F7" w:rsidRDefault="00AF7B16">
      <w:pPr>
        <w:spacing w:line="240" w:lineRule="auto"/>
        <w:ind w:left="0" w:hanging="2"/>
      </w:pPr>
      <w:r>
        <w:separator/>
      </w:r>
    </w:p>
  </w:footnote>
  <w:footnote w:type="continuationSeparator" w:id="0">
    <w:p w:rsidR="00EB08F7" w:rsidRDefault="00AF7B1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B16" w:rsidRDefault="00AF7B16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B16" w:rsidRDefault="00AF7B16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B7B" w:rsidRDefault="00AF7B16">
    <w:pPr>
      <w:pBdr>
        <w:top w:val="nil"/>
        <w:left w:val="nil"/>
        <w:bottom w:val="nil"/>
        <w:right w:val="nil"/>
        <w:between w:val="nil"/>
      </w:pBdr>
      <w:tabs>
        <w:tab w:val="left" w:pos="5205"/>
      </w:tabs>
      <w:spacing w:after="120"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ab/>
    </w:r>
  </w:p>
  <w:p w:rsidR="00B85B7B" w:rsidRDefault="00B85B7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483B"/>
    <w:multiLevelType w:val="multilevel"/>
    <w:tmpl w:val="7BE8E410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">
    <w:nsid w:val="2523771E"/>
    <w:multiLevelType w:val="multilevel"/>
    <w:tmpl w:val="306026A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35D31719"/>
    <w:multiLevelType w:val="multilevel"/>
    <w:tmpl w:val="A436456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7524372F"/>
    <w:multiLevelType w:val="multilevel"/>
    <w:tmpl w:val="922AFD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7B"/>
    <w:rsid w:val="009D1F90"/>
    <w:rsid w:val="00AF7B16"/>
    <w:rsid w:val="00B85B7B"/>
    <w:rsid w:val="00EB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basedOn w:val="Domylnaczcionkaakapitu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przypisukocowego">
    <w:name w:val="endnote reference"/>
    <w:basedOn w:val="Domylnaczcionkaakapitu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basedOn w:val="Domylnaczcionkaakapitu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przypisukocowego">
    <w:name w:val="endnote reference"/>
    <w:basedOn w:val="Domylnaczcionkaakapitu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WiaZ1qQMqcAjgL0fMWSd8B9VAA==">CgMxLjA4AHIhMWpwcmQ0UW5ubzljY0hsekwweUVCVWU2WVRlRUJjS29P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dcterms:created xsi:type="dcterms:W3CDTF">2024-11-14T10:46:00Z</dcterms:created>
  <dcterms:modified xsi:type="dcterms:W3CDTF">2024-12-04T11:46:00Z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