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FC" w:rsidRDefault="00843FFC" w:rsidP="00BA2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843FFC" w:rsidRDefault="00BA2DC5" w:rsidP="00BA2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843FFC" w:rsidRDefault="00843FFC" w:rsidP="00BA2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kierunku studiów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Żywność modyfikowana genetycznie 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Genetically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modified</w:t>
            </w:r>
            <w:proofErr w:type="spellEnd"/>
            <w:r>
              <w:rPr>
                <w:rFonts w:cs="Times New Roman"/>
                <w:color w:val="000000"/>
              </w:rPr>
              <w:t xml:space="preserve"> food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Język wykładowy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angielski</w:t>
            </w:r>
            <w:proofErr w:type="gramEnd"/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Rodzaj modułu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pierwszego</w:t>
            </w:r>
            <w:proofErr w:type="gramEnd"/>
            <w:r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Forma studiów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niestacjonarne</w:t>
            </w:r>
            <w:proofErr w:type="gramEnd"/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IV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(0,64/0,36)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dr</w:t>
            </w:r>
            <w:proofErr w:type="gramEnd"/>
            <w:r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Jednostka oferująca moduł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Katedra </w:t>
            </w:r>
            <w:proofErr w:type="gramStart"/>
            <w:r>
              <w:rPr>
                <w:rFonts w:cs="Times New Roman"/>
                <w:color w:val="000000"/>
              </w:rPr>
              <w:t>Oceny Jakości</w:t>
            </w:r>
            <w:proofErr w:type="gramEnd"/>
            <w:r>
              <w:rPr>
                <w:rFonts w:cs="Times New Roman"/>
                <w:color w:val="000000"/>
              </w:rPr>
              <w:t xml:space="preserve"> i Przetwórstwa 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Produktów Zwierzęcych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 modułu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Celem modułu jest zapoznanie Studentów z zagadnieniami dotyczącymi korzyści i zagrożeń związanych z żywnością i organizmami modyfikowanymi genetycznie. Omówienie regulacji prawnych dotyczących obrotu GMO w Unii Europejskiej.  Przedstawienie przykładów żywn</w:t>
            </w:r>
            <w:r>
              <w:rPr>
                <w:rFonts w:cs="Times New Roman"/>
                <w:color w:val="000000"/>
              </w:rPr>
              <w:t xml:space="preserve">ości modyfikowanej znajdującej się w obrocie. Omówienie technik wykorzystywanych do otrzymywania i </w:t>
            </w:r>
            <w:proofErr w:type="gramStart"/>
            <w:r>
              <w:rPr>
                <w:rFonts w:cs="Times New Roman"/>
                <w:color w:val="000000"/>
              </w:rPr>
              <w:t>detekcji  organizmów</w:t>
            </w:r>
            <w:proofErr w:type="gramEnd"/>
            <w:r>
              <w:rPr>
                <w:rFonts w:cs="Times New Roman"/>
                <w:color w:val="000000"/>
              </w:rPr>
              <w:t xml:space="preserve"> modyfikowanych genetycznie. </w:t>
            </w:r>
          </w:p>
        </w:tc>
      </w:tr>
      <w:tr w:rsidR="00843FFC">
        <w:trPr>
          <w:cantSplit/>
          <w:trHeight w:val="236"/>
        </w:trPr>
        <w:tc>
          <w:tcPr>
            <w:tcW w:w="3942" w:type="dxa"/>
            <w:vMerge w:val="restart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Efekty uczenia się dla modułu to opis zasobu wiedzy, umiejętności i kompetencji społecznych, które student</w:t>
            </w:r>
            <w:r>
              <w:rPr>
                <w:rFonts w:cs="Times New Roman"/>
                <w:color w:val="000000"/>
              </w:rPr>
              <w:t xml:space="preserve"> osiągnie po zrealizowaniu zajęć.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zna i rozumie korzyści i zagrożenia wynikające ze stosowania żywności modyfikowanej genetycznie.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posiada wiedzę na temat metod pozwalających na wykrywanie GMO w żywności.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posiada wiedzę na temat najbardziej powszechnych modyfikacji genetycznych żywności będącej w obrocie.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Umiejętności: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1.Student potrafi korzystać z baz danych i aktów prawnych zawierających informacje na temat organizmów i żywności modyfikowanej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 Student potrafi wykorzystać i konfrontować dostępne źródła informacji o GMO oraz wyciągać wnioski w oparciu o uzyskane dane.  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potrafi zaproponować i scharakteryzować metody wykorzystywane do wykrywania GMO w żywności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Kompetencje społeczne: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843FFC">
        <w:trPr>
          <w:cantSplit/>
          <w:trHeight w:val="233"/>
        </w:trPr>
        <w:tc>
          <w:tcPr>
            <w:tcW w:w="3942" w:type="dxa"/>
            <w:vMerge/>
          </w:tcPr>
          <w:p w:rsidR="00843FFC" w:rsidRDefault="00843FFC" w:rsidP="00BA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jest świadom zalet i ograniczeń wynikających z wprowadzenia do obrotu żywności modyfikowanej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kierunkowego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W1 – BC1_W03, BC1_W05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BC1_W03, BC1_W13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W3 – BC1_W03, BC1_W12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 – BC1_U01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BC1_U01, BC1_U02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U3 – BC1_U06, BC1_U09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 – BC1_K01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K2 – BC1_K02, BC1_K04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Odniesienie modułowych efektów uczenia się do efektów </w:t>
            </w:r>
            <w:proofErr w:type="gramStart"/>
            <w:r>
              <w:rPr>
                <w:rFonts w:cs="Times New Roman"/>
                <w:color w:val="000000"/>
              </w:rPr>
              <w:t>inżynierskich (jeżeli</w:t>
            </w:r>
            <w:proofErr w:type="gramEnd"/>
            <w:r>
              <w:rPr>
                <w:rFonts w:cs="Times New Roman"/>
                <w:color w:val="000000"/>
              </w:rPr>
              <w:t xml:space="preserve"> dotyczy)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inżynierskiego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InzBC_W02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InzBC_U02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Treści programowe modułu 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Żywność modyfikowana genetycznie – historia, omówienie głównych kierunków modyfikacji genetycznych</w:t>
            </w:r>
          </w:p>
          <w:p w:rsidR="00843FFC" w:rsidRDefault="00BA2DC5" w:rsidP="00BA2D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Regulacje prawne, znakowanie żywności modyfikowanej, bazy informacji o GMO.</w:t>
            </w:r>
          </w:p>
          <w:p w:rsidR="00843FFC" w:rsidRDefault="00BA2DC5" w:rsidP="00BA2D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Rola GMO we współczesnej produkcji i technologii żywności. </w:t>
            </w:r>
          </w:p>
          <w:p w:rsidR="00843FFC" w:rsidRDefault="00BA2DC5" w:rsidP="00BA2D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Zdrowotne i środowiskowe korzyści i zagrożenia związane z GMO. </w:t>
            </w:r>
          </w:p>
          <w:p w:rsidR="00843FFC" w:rsidRDefault="00BA2DC5" w:rsidP="00BA2D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Metody wykrywania i otrzymywania organizmów i żywności genetycznie modyfikowanej. 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843FFC" w:rsidRDefault="00BA2DC5" w:rsidP="00BA2D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McHughen</w:t>
            </w:r>
            <w:proofErr w:type="spellEnd"/>
            <w:r>
              <w:rPr>
                <w:rFonts w:cs="Times New Roman"/>
                <w:color w:val="000000"/>
              </w:rPr>
              <w:t xml:space="preserve"> A.: Żywność genetycznie modyfikowana - poradnik konsumenta, Wydawnictwo Naukowo-Techniczne, Warszawa, wyd. II, 2009</w:t>
            </w:r>
          </w:p>
          <w:p w:rsidR="00843FFC" w:rsidRDefault="00BA2DC5" w:rsidP="00BA2D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Niemirowicz-Szczytt</w:t>
            </w:r>
            <w:proofErr w:type="spellEnd"/>
            <w:r>
              <w:rPr>
                <w:rFonts w:cs="Times New Roman"/>
                <w:color w:val="000000"/>
              </w:rPr>
              <w:t xml:space="preserve"> K. – GMO w świetle najnowszych badań. Wyd. SGGW 2012</w:t>
            </w:r>
          </w:p>
          <w:p w:rsidR="00843FFC" w:rsidRPr="00BA2DC5" w:rsidRDefault="00BA2DC5" w:rsidP="00BA2D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en-GB"/>
              </w:rPr>
            </w:pPr>
            <w:r w:rsidRPr="00BA2DC5">
              <w:rPr>
                <w:rFonts w:cs="Times New Roman"/>
                <w:color w:val="000000"/>
                <w:lang w:val="en-GB"/>
              </w:rPr>
              <w:t xml:space="preserve">Raman, R. (2017). The impact of Genetically Modified (GM) </w:t>
            </w:r>
            <w:r w:rsidRPr="00BA2DC5">
              <w:rPr>
                <w:rFonts w:cs="Times New Roman"/>
                <w:color w:val="000000"/>
                <w:lang w:val="en-GB"/>
              </w:rPr>
              <w:t xml:space="preserve">crops in modern agriculture: A review. </w:t>
            </w:r>
            <w:r w:rsidRPr="00BA2DC5">
              <w:rPr>
                <w:rFonts w:cs="Times New Roman"/>
                <w:i/>
                <w:color w:val="000000"/>
                <w:lang w:val="en-GB"/>
              </w:rPr>
              <w:t>GM crops &amp; food</w:t>
            </w:r>
            <w:r w:rsidRPr="00BA2DC5">
              <w:rPr>
                <w:rFonts w:cs="Times New Roman"/>
                <w:color w:val="000000"/>
                <w:lang w:val="en-GB"/>
              </w:rPr>
              <w:t xml:space="preserve">, </w:t>
            </w:r>
            <w:r w:rsidRPr="00BA2DC5">
              <w:rPr>
                <w:rFonts w:cs="Times New Roman"/>
                <w:i/>
                <w:color w:val="000000"/>
                <w:lang w:val="en-GB"/>
              </w:rPr>
              <w:t>8</w:t>
            </w:r>
            <w:r w:rsidRPr="00BA2DC5">
              <w:rPr>
                <w:rFonts w:cs="Times New Roman"/>
                <w:color w:val="000000"/>
                <w:lang w:val="en-GB"/>
              </w:rPr>
              <w:t>(4), 195-208</w:t>
            </w:r>
          </w:p>
          <w:p w:rsidR="00843FFC" w:rsidRDefault="00BA2DC5" w:rsidP="00BA2D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Wybrane publikacje naukowe z zakresu GMO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  <w:bookmarkStart w:id="0" w:name="_GoBack"/>
            <w:bookmarkEnd w:id="0"/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>
              <w:rPr>
                <w:rFonts w:cs="Times New Roman"/>
                <w:color w:val="000000"/>
              </w:rPr>
              <w:t>kształcenia  (wynik</w:t>
            </w:r>
            <w:proofErr w:type="gramEnd"/>
            <w:r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U1, U2, U3 – udział w ćwiczeniach, wykonanie kart pracy z ćwiczeń, przygotowanie i zaprezentowanie p</w:t>
            </w:r>
            <w:r>
              <w:rPr>
                <w:rFonts w:cs="Times New Roman"/>
                <w:color w:val="000000"/>
              </w:rPr>
              <w:t>rojektu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K1, K2 - aktywny udział w zajęciach, zabieranie głosu w dyskusji, zespołowa praca przy przygotowaniu i prezentacji projektu oraz w trakcie ćwiczeń.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lista obecności, prace zaliczeniowe z części ćwiczeni</w:t>
            </w:r>
            <w:r>
              <w:rPr>
                <w:rFonts w:cs="Times New Roman"/>
                <w:color w:val="000000"/>
              </w:rPr>
              <w:t xml:space="preserve">owej i wykładowej, karty pracy z </w:t>
            </w:r>
            <w:proofErr w:type="gramStart"/>
            <w:r>
              <w:rPr>
                <w:rFonts w:cs="Times New Roman"/>
                <w:color w:val="000000"/>
              </w:rPr>
              <w:t>ćwiczeń  (archiwizowane</w:t>
            </w:r>
            <w:proofErr w:type="gramEnd"/>
            <w:r>
              <w:rPr>
                <w:rFonts w:cs="Times New Roman"/>
                <w:color w:val="000000"/>
              </w:rPr>
              <w:t xml:space="preserve"> w formie papierowej)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projekt</w:t>
            </w:r>
            <w:proofErr w:type="gramEnd"/>
            <w:r>
              <w:rPr>
                <w:rFonts w:cs="Times New Roman"/>
                <w:color w:val="000000"/>
              </w:rPr>
              <w:t xml:space="preserve"> wykonany przez studentów – w formie prezentacji multimedialnej (archiwizowany w formie cyfrowej)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843FFC" w:rsidRDefault="00BA2DC5" w:rsidP="00BA2D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843FFC" w:rsidRDefault="00BA2DC5" w:rsidP="00BA2D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</w:t>
            </w:r>
            <w:r>
              <w:rPr>
                <w:rFonts w:cs="Times New Roman"/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843FFC" w:rsidRDefault="00BA2DC5" w:rsidP="00BA2D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843FFC" w:rsidRDefault="00BA2DC5" w:rsidP="00BA2D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rFonts w:cs="Times New Roman"/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843FFC" w:rsidRDefault="00BA2DC5" w:rsidP="00BA2D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rFonts w:cs="Times New Roman"/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843FFC"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Elementy i wagi mające wpływ na ocenę końcową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z ćwiczeń = 70% zaliczenie materiału ćwiczeniowego + 30% ocena prezentacji</w:t>
            </w:r>
          </w:p>
          <w:p w:rsidR="00843FFC" w:rsidRDefault="00843FFC" w:rsidP="00BA2DC5">
            <w:pPr>
              <w:ind w:left="0" w:hanging="2"/>
              <w:jc w:val="both"/>
              <w:rPr>
                <w:rFonts w:cs="Times New Roman"/>
              </w:rPr>
            </w:pPr>
          </w:p>
          <w:p w:rsidR="00843FFC" w:rsidRDefault="00BA2DC5" w:rsidP="00BA2DC5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końcowa = 50% ocena z zaliczenia materiału wykładowego + 50% ocena z ćwiczeń</w:t>
            </w:r>
          </w:p>
          <w:p w:rsidR="00843FFC" w:rsidRDefault="00843FFC" w:rsidP="00BA2DC5">
            <w:pPr>
              <w:ind w:left="0" w:hanging="2"/>
              <w:jc w:val="both"/>
              <w:rPr>
                <w:rFonts w:cs="Times New Roman"/>
              </w:rPr>
            </w:pPr>
          </w:p>
          <w:p w:rsidR="00843FFC" w:rsidRDefault="00BA2DC5" w:rsidP="00BA2DC5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Warunki te są przedstawiane na pierwszych zajęciach z modułu.</w:t>
            </w:r>
          </w:p>
        </w:tc>
      </w:tr>
      <w:tr w:rsidR="00843FFC">
        <w:trPr>
          <w:trHeight w:val="2324"/>
        </w:trPr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Bilans punktów ECTS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Formy zajęć: </w:t>
            </w: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Kontaktowe</w:t>
            </w:r>
          </w:p>
          <w:p w:rsidR="00843FFC" w:rsidRDefault="00BA2DC5" w:rsidP="00BA2D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(5 godz./0,2 ECTS), </w:t>
            </w:r>
          </w:p>
          <w:p w:rsidR="00843FFC" w:rsidRDefault="00BA2DC5" w:rsidP="00BA2D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(10 godz./0,4 ECTS), </w:t>
            </w:r>
          </w:p>
          <w:p w:rsidR="00843FFC" w:rsidRDefault="00BA2DC5" w:rsidP="00BA2D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 godz./0,04 ECTS), 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Łącznie – 16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godz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/0,64 ECTS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843FFC" w:rsidRDefault="00BA2DC5" w:rsidP="00BA2D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do zajęć (3 godz./0,12 ECTS),</w:t>
            </w:r>
          </w:p>
          <w:p w:rsidR="00843FFC" w:rsidRDefault="00BA2DC5" w:rsidP="00BA2D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studiowanie literatury (3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godz./0,12  ECTS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),</w:t>
            </w:r>
          </w:p>
          <w:p w:rsidR="00843FFC" w:rsidRDefault="00BA2DC5" w:rsidP="00BA2D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prezentacji (3 godz./0,12 ECTS)</w:t>
            </w:r>
          </w:p>
          <w:p w:rsidR="00843FFC" w:rsidRDefault="00843FFC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Łącznie 9 godz./0,36 ECTS</w:t>
            </w:r>
          </w:p>
        </w:tc>
      </w:tr>
      <w:tr w:rsidR="00843FFC">
        <w:trPr>
          <w:trHeight w:val="718"/>
        </w:trPr>
        <w:tc>
          <w:tcPr>
            <w:tcW w:w="3942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843FFC" w:rsidRDefault="00BA2DC5" w:rsidP="00BA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 wykładach – 5 godz.; ćwiczeniach – 10 godz.; konsultacjach – 1 godz.</w:t>
            </w:r>
          </w:p>
        </w:tc>
      </w:tr>
    </w:tbl>
    <w:p w:rsidR="00843FFC" w:rsidRDefault="00843FFC" w:rsidP="00BA2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43FFC" w:rsidRDefault="00843FFC" w:rsidP="00BA2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43FFC" w:rsidRDefault="00843FFC" w:rsidP="00BA2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43FFC" w:rsidRDefault="00843FFC" w:rsidP="00BA2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43FFC" w:rsidRDefault="00843FFC" w:rsidP="00BA2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43FFC" w:rsidRDefault="00843FFC" w:rsidP="00BA2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843FFC" w:rsidRDefault="00843FFC" w:rsidP="0084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843FFC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2DC5" w:rsidP="00BA2DC5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BA2DC5" w:rsidP="00BA2D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FC" w:rsidRDefault="00BA2DC5" w:rsidP="00BA2DC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843FFC" w:rsidRDefault="00843FFC" w:rsidP="00BA2DC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2DC5" w:rsidP="00BA2DC5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BA2DC5" w:rsidP="00BA2D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FC" w:rsidRDefault="00BA2DC5" w:rsidP="00BA2DC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proofErr w:type="gramStart"/>
    <w:r>
      <w:rPr>
        <w:rFonts w:cs="Times New Roman"/>
        <w:color w:val="000000"/>
        <w:sz w:val="22"/>
        <w:szCs w:val="22"/>
      </w:rPr>
      <w:t>Załącznik  nr</w:t>
    </w:r>
    <w:proofErr w:type="gramEnd"/>
    <w:r>
      <w:rPr>
        <w:rFonts w:cs="Times New Roman"/>
        <w:color w:val="000000"/>
        <w:sz w:val="22"/>
        <w:szCs w:val="22"/>
      </w:rPr>
      <w:t xml:space="preserve"> 4 do Uchwały nr 3/2023-2024</w:t>
    </w:r>
  </w:p>
  <w:p w:rsidR="00843FFC" w:rsidRDefault="00BA2DC5" w:rsidP="00BA2DC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 xml:space="preserve">                                                            Senatu UP w Lublinie z dnia 27 października 2023 r.</w:t>
    </w:r>
  </w:p>
  <w:p w:rsidR="00843FFC" w:rsidRDefault="00BA2DC5" w:rsidP="00BA2DC5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843FFC" w:rsidRDefault="00843FFC" w:rsidP="00BA2DC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7A6"/>
    <w:multiLevelType w:val="multilevel"/>
    <w:tmpl w:val="30D025D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>
    <w:nsid w:val="1EA258D2"/>
    <w:multiLevelType w:val="multilevel"/>
    <w:tmpl w:val="7F6609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5D473DDA"/>
    <w:multiLevelType w:val="multilevel"/>
    <w:tmpl w:val="1FDEDC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7CC30790"/>
    <w:multiLevelType w:val="multilevel"/>
    <w:tmpl w:val="A97C67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3FFC"/>
    <w:rsid w:val="00843FFC"/>
    <w:rsid w:val="00B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iaZ1qQMqcAjgL0fMWSd8B9VAA==">CgMxLjA4AHIhMWpwcmQ0UW5ubzljY0hsekwweUVCVWU2WVRlRUJjS29P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5549</Characters>
  <Application>Microsoft Office Word</Application>
  <DocSecurity>0</DocSecurity>
  <Lines>46</Lines>
  <Paragraphs>12</Paragraphs>
  <ScaleCrop>false</ScaleCrop>
  <Company>Microsoft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2024-11-14T10:46:00Z</dcterms:created>
  <dcterms:modified xsi:type="dcterms:W3CDTF">2024-12-04T11:48:00Z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