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Załącznik nr 4 do Uchwały nr 3/20232024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Senatu UP w Lublinie z dnia 27 października 2023 r.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systemu zarządzania jakością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Basis of quality management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1,2/1,8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nauczania przedmiotu jest zapoznanie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studentów z podstawami systemu zarządzania jakością.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pozwolą studentom na poznanie zasad wdrażania i funkcjonowania systemu zarządzania jakością w organizacji.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zna podstawy zarządzania jakością oraz zasady budowania, wdrażania, funkcjonowania i doskonalenia systemu zarządzania jakością.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podjąć odpowiednie działania systemowe zgodnie z normą ISO 9001 dla wybranej organizacji.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wykazuje gotowość i rozumie potrzebę ciągłego dokształcania się w ramach uzyskanych kompetencji.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BC1_W14,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inzynierskich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Wdrażanie systemu HACCP do praktyki przemysłowej/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Dokumentacja systemu zapewnienia bezpieczeństwa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Podstawy zarządzania jakością. Pojęcie jakości. Terminy związane z jakością. Zarządzanie jakością według norm serii ISO 9000 - geneza, cele, korzyści, mankamenty. Zasady zarządzania jakością. Wymagania normy ISO 9001. Odpowiedzialność kierownictwa. Podejście procesowe. Ocena dostawców. Nadzorowanie niezgodności. Dokumentacja systemowa.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ind w:left="311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Bugdol M.: System zarządzania jakością według normy ISO 9001:2015. Wyd. Helion, Gliwice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311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Hamrol A.: Zarządzanie jakością z przykładami, Wyd. PWN, warszawa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311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Normy z serii ISO 9000.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konsultacje, dyskusja, zespołowe projekty studenckie realizowane w grupach, analiza przypadków (studia przypadków)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egzamin pisemny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egzamin pisemny,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panelowa, obserwacja i ocena pracy w grupie oraz indywidualnej aktywności na zajęciach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egzaminacyjnych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średnia ocen z zadania projektowego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egzaminu pisemnego 60% + 40% ocena z ćwiczeń.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10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3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egzaminie/egzaminie poprawkowym – 2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30 godz. kontaktowych/1,2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Godziny niekontaktowe: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25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egzaminu – 20 godz.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45 godz. niekontaktowych/ 1,8 pkt.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75 godz. co odpowiada 3 punktom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10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– 15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3 godz.,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egzaminie/egzaminie poprawkowym – 2 godz.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30 godz. – 1,2 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i w:val="1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73KtLjWSx1pMC4wnEKVdgVcjw==">CgMxLjA4AHIhMVBwME55RFpFUDZZSGplUzNPLWVsMEhxYVBzX0o4LWdu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2024-11-16T21:05:00Z</dcterms:created>
  <dc:creator>1</dc:creator>
</cp:coreProperties>
</file>