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Statystyka matematyczna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Mathematical statistics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 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drugiego stopnia/jednolite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(1,24/1,76)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Justyna Batkowska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Instytut Biologicznych Podstaw Produkcji Zwierzęcej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hd w:fill="ffffff" w:val="clea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przedmiotu jest nabycie przez studentów umiejętności i kompetencji w zakresie rozumienia metod opisu próby, planowania doświadczeń z zakresu nauk rolniczych ze szczególnym naciskiem na bezpieczeństwa żywności oraz świadomego wykorzystywania metod statystyki matematycznej w doświadczalnictwie przy weryfikacji uzyskanych wyników badań z wykorzystaniem programów komputerowych.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Rozumie istotę oraz znaczenie wnioskowania statystycznego, metod statystyki matematycznej (estymacji i weryfikacji hipotez), warunków ich stosowania i praktycznych ograniczeń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posiada podstawową wiedzę dotyczącą metod analizy statystycznej danych oraz wnioskowania statystycznego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posiada umiejętność samodzielnego, poprawnego, stosowania podstawowych metod statystycznych w analizie danych empirycznych w typowych układach doświadczalnych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Potrafi, na podstawie układu doświadczalnego, dobrać odpowiednie procedury analizy statystycznej oraz zinterpretować ich wyniki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Posiada umiejętność odczytania i interpretacji oraz graficznej prezentacji wyników uzyskanych z różnych programów komputerowych służących do opracowywania wyników prac związanych z rolnictwem, w tym bezpieczeństwem żywności, oraz prac naukowo-badawczych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opanowanie zasad pracy zespołowej w zakresie statystycznego opracowywania danych empirycznych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930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jest w stanie ustalić układ doświadczalny dla weryfikacji typowych hipotez statystycznych i prawidłowo go umotywować w ramach otwartej dyskusji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kierunkowego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W1, W2 BC1_W02; BC1_W13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U2 U3 BC1_U01, BC1_U03; BC1_U04; BC1_U06,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K1, K2 BC1_K03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Kod efektu modułowego – kod efektu inżynierskiego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W1, W2 InzBC_W02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U2, U3 InzBC_U01, InzBC_U02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Prawdopodobieństwo. Rozkład zmiennej losowej. Populacja i próba. Metody estymacji parametrów populacji. Ogólne zasady prowadzenia pracy badawczej oraz planowanie doświadczeń w naukach rolniczych, ze szczególnym uwzględnieniem bezpieczeństwa żywności. Analiza wariancji według modeli losowych, stałych i mieszanych. Testy parametryczne i nieparametryczne oraz ich praktycznie zastosowanie.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Literatura podstawowa: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Grużewska A., Malicki L. Podstawy doświadczalnictwa rolniczego. Wyd. Akademii Podlaskiej, Siedlce 2002.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Kala R. Statystyka dla przyrodników. Wydawnictwo Akademii Rolniczej im. Augusta Cieszkowskiego, Poznań 2005.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Łomnicki A.: Wprowadzenie do statystyki dla przyrodników. Wydawnictwo Naukowe PWN, Warszawa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Oktaba W. Elementy statystyki matematycznej i metodyka doświadczalnictwa. Wyd. Nauk. PWN, Warszawa 1980.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Ruszczyc Z. Metodyka doświadczeń zootechnicznych. PWRiL, Warszawa 1978.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Literatura uzupełniająca: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Dobek A., Szwaczkowski T. Statystyka matematyczna dla biologów. Wydawnictwo UP w Poznaniu.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Francuz P., Mackiewicz R. Liczby nie wiedzą, skąd pochodzą. Przewodnik po metodologii i statystyce nie tylko dla psychologów. Wydawnictwo KUL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Bedyńska, S., Cypryańska, M. (Red.) Statystyczny drogowskaz: Praktyczne wprowadzenie do wnioskowania statystycznego. Wydawnictwo Akademickie Sedno, Warszawa, 2013.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Bedyńska, S., Cypryańska, M. (Red.) Statystyczny drogowskaz 2. Praktyczne wprowadzenie do analizy wariancji.. Wydawnictwo Akademickie Sedno, Warszawa, 2013.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Bedyńska, S., Książek, M. Statystyczny drogowskaz. 3. Praktyczny przewodnik wykorzystania modeli regresji oraz równań strukturalnych. Wydawnictwo Akademickie Sedno, Warszawa, 2012.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hd w:fill="ffffff" w:val="clear"/>
              <w:spacing w:line="240" w:lineRule="auto"/>
              <w:ind w:right="62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Wykłady, ilustrowane stosownie do tematyki prezentacjami multimedialnymi, uwzględniającymi m. in. wyniki badań własnych.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line="240" w:lineRule="auto"/>
              <w:ind w:right="62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- rozwiązywanie zadań praktycznych z zakresu realizowanego materiału, stosowanie metod statystyki matematycznej w doświadczalnictwie z wykorzystaniem metod tradycyjnych technologii informatycznych, gry dydaktyczne.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line="240" w:lineRule="auto"/>
              <w:ind w:right="624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Piśmiennictwo oraz oryginalny zestaw pomocy dydaktycznych przygotowanych z zakresu przedmiotu (zbiór zadań, schematy tabelaryczne, tutoriale komputerowe etc.).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W1, W2 – 2 sprawdziany pisemne w formie definicji do wyjaśnienia oraz zadań obliczeniowych, egzamin pisemny z zakresu teoretycznych podstaw statystycznej analizy danych i doświadczalnictwa.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U1, U2, U3 – sprawdzian w formie elektronicznej obejmujący wykorzystanie technik informatycznych w statystycznej analizie danych, samodzielnie rozwiązywane zadania rachunkowe w ramach pracy domowej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K1, K2 – udział w dyskusji, wspólne projektowanie układów doświadczalnych do weryfikacji postawionych hipotez statystycznych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Kryteria stosowane przy ocenie: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3,0 – 51-60%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3,5- 61-70%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4,0 – 71-80%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4,5 – 81-90%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5,0 - &gt;91%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Dokumentowanie osiągniętych efektów uczenia się: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prace etapowe, prace domowe, zaliczenie końcowe – forma papierowa i/lub elektroniczna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listy obecności z zaznaczeniem aktywności studentów podczas zajęć – forma papierowa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podsumowanie całego modułu - – forma elektroniczna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Warunkiem dopuszczenia do egzaminu pisemnego jest posiadanie zaliczenia ćwiczeń (uzyskanie pozytywnej oceny ze wszystkich sprawdzianów oraz oceny zbiorczej za zadania rozwiązywane w ramach prac domowych. Na ocenę końcową ma wpływ średnia ocena z ćwiczeń (40%) i ocena z egzaminu (60%). Warunki te są przedstawiane studentom i konsultowane z nimi na pierwszym wykładzie.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wykład (10 godz.; 0,4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ćwiczeń (15 godz.; 0,6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egzamin pisemny (1 godz.; 0,04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egzamin poprawkowy (1 godz.; 0,04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konsultacje (4 godz.; 0,16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Razem: 31 godz. (1,24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przygotowanie do ćwiczeń (1,5 godz. × 8; 0,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48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przygotowanie do kolokwiów (5 godz. × 3; 0,60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przygotowanie do egzaminu (8 godz.; 0,32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praca indywidualna z piśmiennictwem (9 godz.; 0,36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ECTS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Razem: 44 godz. (1,76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Razem = 31 godz. kontaktowe + 44 godz. niekontaktowych = 75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75 godz. / 25 = 3 punkty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10 godz.; w ćwiczeniach – 15 godz.; konsultacjach – 4 godz.; w egzaminie i egzaminie poprawkowym – 2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5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6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Tekstblokowy">
    <w:name w:val="Block Text"/>
    <w:basedOn w:val="Normalny"/>
    <w:semiHidden w:val="1"/>
    <w:rsid w:val="009561DE"/>
    <w:pPr>
      <w:widowControl w:val="0"/>
      <w:shd w:color="auto" w:fill="ffffff" w:val="clear"/>
      <w:autoSpaceDE w:val="0"/>
      <w:autoSpaceDN w:val="0"/>
      <w:adjustRightInd w:val="0"/>
      <w:spacing w:line="240" w:lineRule="atLeast"/>
      <w:ind w:left="1416" w:right="34"/>
    </w:pPr>
    <w:rPr>
      <w:rFonts w:ascii="Arial" w:cs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K2+wlAJbRR9Po5RFNZbZEgEcg==">CgMxLjA4AHIhMTFCLVd4b3NjU0xoUkFhVEcxcWVOVEhud0NwVi1MUkZ1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2024-11-21T19:48:00Z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