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Analiza instrumentalna żywności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Instrumental food analysis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obowiązkowy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niestacjonarne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3 (1,28/1,72)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dr hab. Piotr Domaradzki, prof. uczelni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Katedra Oceny Jakości i Przetwórstwa 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Produktów Zwierzęcych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Celem modułu jest zapoznanie studentów z zasadami, metodami i wybranymi aparatami stosowanymi w instrumentalnej analizie żywności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1. Klasyfikuje, rozpoznaje i wybiera metody stosowane w instrumentalnej analizie żywności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2. Zna przydatność analityczną różnych technik instrumentalnych w ocenie jakości i zapewnieniu bezpieczeństwa żywności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1. Potrafi właściwie przeprowadzać pomiar (zgodnie z instrukcją obsługi i procedurą analityczną)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2. Umie rejestrować i interpretować wyniki oznaczeń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1. Ma świadomość znaczenia odpowiedniej organizacji pracy w tym oszacowania niezbędnych środków i zasobów do wykonania analiz jak również podejmuje odpowiednie działania na podstawie uzyskanych wyników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W1, W2 – BC1_W13</w:t>
            </w:r>
          </w:p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U1 - BC1_U09</w:t>
            </w:r>
          </w:p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U2 – BC1_U04</w:t>
            </w:r>
          </w:p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BC1_K03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efektów inżynierskich (jeżeli dotyczy)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W1, W2 – InzBC_W02</w:t>
            </w:r>
          </w:p>
          <w:p w:rsidR="00000000" w:rsidDel="00000000" w:rsidP="00000000" w:rsidRDefault="00000000" w:rsidRPr="00000000" w14:paraId="0000003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U1, U2 - InzBC_U01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Chemia, fizyka, biochemia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Zapoznanie studentów z podstawowymi technikami instrumentalnymi stosowanymi w praktyce analitycznej żywności. Wykazanie ich zalet i ograniczeń przy rozwiązywaniu konkretnych problemów analitycznych. Zdobycie wiedzy o aparaturze i przyrządach pomiarowych służących do identyfikacji i oznaczeń składu próbki.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Literatura wymagana: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1. Kocjana R.: Chemia analityczna: podręcznik dla studentów. 2, Analiza instrumentalna. Wydawnictwo Lekarskie PZWL, 2021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2. Gambuś F., Wieczorek J., Analiza instrumentalna: dla studentów kierunków rolnictwo i ochrona środowiska. Wydawnictwo UR w Krakowie, 2013. 3. Instrukcje wykonania ćwiczeń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Literatura zalecana: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1. Litwińczuk Z. (red.): Metody oceny towaroznawczej surowców i produktów zwierzęcych. Wyd. Uniwersytetu Przyrodniczego, Lublin 2011. 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2. Wierciński J., Instrumentalna analiza chemicznych składników żywności. Wydaw. Akademii Rolniczej 2004.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3. Polskie Normy i instrukcje obsługi urządzeń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Wykład multimedialny, konsultacje, dyskusja, doświadczenie, ćwiczenia w grupach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SPOSOBY WERYFIKACJI:</w:t>
            </w:r>
          </w:p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W1, W2 – zaliczenia pisemne, kolokwium</w:t>
            </w:r>
          </w:p>
          <w:p w:rsidR="00000000" w:rsidDel="00000000" w:rsidP="00000000" w:rsidRDefault="00000000" w:rsidRPr="00000000" w14:paraId="00000053">
            <w:pPr>
              <w:jc w:val="both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U1, U2 – ocena sprawozdań z ćwiczeń </w:t>
            </w:r>
          </w:p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K1 - ocena sprawozdań z ćwiczeń, ocena pracy w grupie i pracy indywidualnej  </w:t>
            </w:r>
          </w:p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FORMY DOKUMENTOWANIA OSIĄGNIĘTYCH EFEKTÓW UCZENIA SIĘ: sprawozdania, sprawdziany, dziennik prowadzącego, prace zaliczeniowe archiwizowane w formie papierowej</w:t>
            </w:r>
          </w:p>
          <w:p w:rsidR="00000000" w:rsidDel="00000000" w:rsidP="00000000" w:rsidRDefault="00000000" w:rsidRPr="00000000" w14:paraId="00000057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Szczegółowe kryteria przy ocenie zaliczenia i prac kontrolnych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Ocena końcowa = ocena z egzaminu pisemnego 50% + 50% ocena z ćwiczeń..</w:t>
            </w:r>
          </w:p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Ocena z ćwiczeń = ocena ze sprawozdań 30% + ocena z kolokwium 70%</w:t>
            </w:r>
          </w:p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Warunki te są przedstawiane na pierwszych zajęciach z modułu.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Kontaktowe:</w:t>
            </w:r>
          </w:p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wykłady – (15 godz. / 0,6 ECTS),</w:t>
            </w:r>
          </w:p>
          <w:p w:rsidR="00000000" w:rsidDel="00000000" w:rsidP="00000000" w:rsidRDefault="00000000" w:rsidRPr="00000000" w14:paraId="0000006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zajęcia audytoryjne i laboratoryjne – (15 godz. / 0,6 ECTS),</w:t>
            </w:r>
          </w:p>
          <w:p w:rsidR="00000000" w:rsidDel="00000000" w:rsidP="00000000" w:rsidRDefault="00000000" w:rsidRPr="00000000" w14:paraId="0000006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konsultacje (2 godz. / 0,08 ECTS).</w:t>
            </w:r>
          </w:p>
          <w:p w:rsidR="00000000" w:rsidDel="00000000" w:rsidP="00000000" w:rsidRDefault="00000000" w:rsidRPr="00000000" w14:paraId="0000006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Łącznie – 32 godz./1,28 ECTS</w:t>
            </w:r>
          </w:p>
          <w:p w:rsidR="00000000" w:rsidDel="00000000" w:rsidP="00000000" w:rsidRDefault="00000000" w:rsidRPr="00000000" w14:paraId="0000006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Niekontaktowe:</w:t>
            </w:r>
          </w:p>
          <w:p w:rsidR="00000000" w:rsidDel="00000000" w:rsidP="00000000" w:rsidRDefault="00000000" w:rsidRPr="00000000" w14:paraId="0000006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przygotowanie do ćwiczeń audytoryjnych – (10 godz./0,4 ECTS) </w:t>
            </w:r>
          </w:p>
          <w:p w:rsidR="00000000" w:rsidDel="00000000" w:rsidP="00000000" w:rsidRDefault="00000000" w:rsidRPr="00000000" w14:paraId="0000006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dokończenie sprawozdań – (6 godz./0,24 ECTS)</w:t>
            </w:r>
          </w:p>
          <w:p w:rsidR="00000000" w:rsidDel="00000000" w:rsidP="00000000" w:rsidRDefault="00000000" w:rsidRPr="00000000" w14:paraId="0000006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studiowanie literatury – (12 godz. / 0,48 ECTS)</w:t>
            </w:r>
          </w:p>
          <w:p w:rsidR="00000000" w:rsidDel="00000000" w:rsidP="00000000" w:rsidRDefault="00000000" w:rsidRPr="00000000" w14:paraId="0000007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przygotowanie do zaliczenia – (15 godz. /0,6 ECTS</w:t>
            </w:r>
          </w:p>
          <w:p w:rsidR="00000000" w:rsidDel="00000000" w:rsidP="00000000" w:rsidRDefault="00000000" w:rsidRPr="00000000" w14:paraId="00000071">
            <w:pPr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Łącznie – 43</w:t>
            </w:r>
            <w:r w:rsidDel="00000000" w:rsidR="00000000" w:rsidRPr="00000000">
              <w:rPr>
                <w:rtl w:val="0"/>
              </w:rPr>
              <w:t xml:space="preserve"> godz./1,72 ECTS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w wykładach – 15 godz.; w ćwiczeniach – 15 godz.; konsultacje – 2 godz.</w:t>
            </w:r>
          </w:p>
        </w:tc>
      </w:tr>
    </w:tbl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Załącznik  nr 4 do Uchwały nr 3/2023-2024</w:t>
    </w:r>
  </w:p>
  <w:p w:rsidR="00000000" w:rsidDel="00000000" w:rsidP="00000000" w:rsidRDefault="00000000" w:rsidRPr="00000000" w14:paraId="0000007C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                                                            Senatu UP w Lublinie z dnia 27 października 2023 r.</w:t>
    </w:r>
  </w:p>
  <w:p w:rsidR="00000000" w:rsidDel="00000000" w:rsidP="00000000" w:rsidRDefault="00000000" w:rsidRPr="00000000" w14:paraId="0000007D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 w:val="1"/>
    <w:rsid w:val="00760F90"/>
    <w:pPr>
      <w:ind w:left="720"/>
      <w:contextualSpacing w:val="1"/>
    </w:p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760F90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760F90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760F9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760F90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760F90"/>
    <w:rPr>
      <w:rFonts w:ascii="Tahoma" w:cs="Tahoma" w:eastAsia="Times New Roman" w:hAnsi="Tahoma"/>
      <w:sz w:val="16"/>
      <w:szCs w:val="16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pa28gZn2LDWjpYwmH6lK9MZYqQ==">CgMxLjAyCGguZ2pkZ3hzOAByITFJb25BdC0zTEpZUDBPbDJOZ1F3OElrX3BickFpRXRtag==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2023-11-03T07:29:00Z</dcterms:created>
  <dc:creator>1</dc:creator>
</cp:coreProperties>
</file>