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EF" w:rsidRDefault="00E27E79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3613EF" w:rsidRDefault="00E27E79">
      <w:pPr>
        <w:rPr>
          <w:b/>
        </w:rPr>
      </w:pPr>
      <w:r>
        <w:rPr>
          <w:b/>
        </w:rPr>
        <w:t>Karta opisu zajęć (sylabus)</w:t>
      </w:r>
    </w:p>
    <w:p w:rsidR="003613EF" w:rsidRDefault="003613EF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 xml:space="preserve">Nazwa kierunku studiów </w:t>
            </w:r>
          </w:p>
          <w:p w:rsidR="003613EF" w:rsidRDefault="003613EF"/>
        </w:tc>
        <w:tc>
          <w:tcPr>
            <w:tcW w:w="5344" w:type="dxa"/>
            <w:shd w:val="clear" w:color="auto" w:fill="auto"/>
          </w:tcPr>
          <w:p w:rsidR="003613EF" w:rsidRDefault="00E27E79">
            <w:r>
              <w:t>Bezpieczeństwo i certyfikacja żywności</w:t>
            </w:r>
          </w:p>
        </w:tc>
      </w:tr>
      <w:tr w:rsidR="003613EF" w:rsidRPr="00275349">
        <w:tc>
          <w:tcPr>
            <w:tcW w:w="3942" w:type="dxa"/>
            <w:shd w:val="clear" w:color="auto" w:fill="auto"/>
          </w:tcPr>
          <w:p w:rsidR="003613EF" w:rsidRDefault="00E27E79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613EF" w:rsidRPr="00275349" w:rsidRDefault="00E27E79">
            <w:pPr>
              <w:rPr>
                <w:lang w:val="en-GB"/>
              </w:rPr>
            </w:pPr>
            <w:r w:rsidRPr="00275349">
              <w:rPr>
                <w:lang w:val="en-GB"/>
              </w:rPr>
              <w:t>Transport żywności</w:t>
            </w:r>
          </w:p>
          <w:p w:rsidR="003613EF" w:rsidRPr="00275349" w:rsidRDefault="00E27E79">
            <w:pPr>
              <w:rPr>
                <w:lang w:val="en-GB"/>
              </w:rPr>
            </w:pPr>
            <w:r w:rsidRPr="00275349">
              <w:rPr>
                <w:i/>
                <w:lang w:val="en-GB"/>
              </w:rPr>
              <w:t>Transport of food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 xml:space="preserve">Język wykładowy </w:t>
            </w:r>
          </w:p>
          <w:p w:rsidR="003613EF" w:rsidRDefault="003613EF"/>
        </w:tc>
        <w:tc>
          <w:tcPr>
            <w:tcW w:w="5344" w:type="dxa"/>
            <w:shd w:val="clear" w:color="auto" w:fill="auto"/>
          </w:tcPr>
          <w:p w:rsidR="003613EF" w:rsidRDefault="00E27E79">
            <w:proofErr w:type="gramStart"/>
            <w:r>
              <w:t>j</w:t>
            </w:r>
            <w:proofErr w:type="gramEnd"/>
            <w:r>
              <w:t>. polski</w:t>
            </w:r>
          </w:p>
        </w:tc>
        <w:bookmarkStart w:id="0" w:name="_GoBack"/>
        <w:bookmarkEnd w:id="0"/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 xml:space="preserve">Rodzaj modułu </w:t>
            </w:r>
          </w:p>
          <w:p w:rsidR="003613EF" w:rsidRDefault="003613EF"/>
        </w:tc>
        <w:tc>
          <w:tcPr>
            <w:tcW w:w="5344" w:type="dxa"/>
            <w:shd w:val="clear" w:color="auto" w:fill="auto"/>
          </w:tcPr>
          <w:p w:rsidR="003613EF" w:rsidRDefault="00E27E79">
            <w:proofErr w:type="gramStart"/>
            <w:r>
              <w:t>fakultatywny</w:t>
            </w:r>
            <w:proofErr w:type="gramEnd"/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3613EF" w:rsidRDefault="00E27E79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>Forma studiów</w:t>
            </w:r>
          </w:p>
          <w:p w:rsidR="003613EF" w:rsidRDefault="003613EF"/>
        </w:tc>
        <w:tc>
          <w:tcPr>
            <w:tcW w:w="5344" w:type="dxa"/>
            <w:shd w:val="clear" w:color="auto" w:fill="auto"/>
          </w:tcPr>
          <w:p w:rsidR="003613EF" w:rsidRDefault="00E27E79">
            <w:proofErr w:type="gramStart"/>
            <w:r>
              <w:t>niestacjonarne</w:t>
            </w:r>
            <w:proofErr w:type="gramEnd"/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3613EF" w:rsidRDefault="00E27E79">
            <w:r>
              <w:t>III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3613EF" w:rsidRDefault="00E27E79">
            <w:bookmarkStart w:id="1" w:name="_heading=h.gjdgxs" w:colFirst="0" w:colLast="0"/>
            <w:bookmarkEnd w:id="1"/>
            <w:r>
              <w:t>6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3613EF" w:rsidRDefault="00E27E79">
            <w:r>
              <w:t>2 (0,8/1,2)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613EF" w:rsidRDefault="00E27E79">
            <w:r>
              <w:t>Prof. dr hab. Piotr Skałecki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>Jednostka oferująca moduł</w:t>
            </w:r>
          </w:p>
          <w:p w:rsidR="003613EF" w:rsidRDefault="003613EF"/>
        </w:tc>
        <w:tc>
          <w:tcPr>
            <w:tcW w:w="5344" w:type="dxa"/>
            <w:shd w:val="clear" w:color="auto" w:fill="auto"/>
          </w:tcPr>
          <w:p w:rsidR="003613EF" w:rsidRDefault="00E27E79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>Cel modułu</w:t>
            </w:r>
          </w:p>
          <w:p w:rsidR="003613EF" w:rsidRDefault="003613EF"/>
        </w:tc>
        <w:tc>
          <w:tcPr>
            <w:tcW w:w="5344" w:type="dxa"/>
            <w:shd w:val="clear" w:color="auto" w:fill="auto"/>
          </w:tcPr>
          <w:p w:rsidR="003613EF" w:rsidRDefault="00E27E79">
            <w:r>
              <w:t xml:space="preserve">Uzyskanie przez </w:t>
            </w:r>
            <w:proofErr w:type="gramStart"/>
            <w:r>
              <w:t>studentów  informacji</w:t>
            </w:r>
            <w:proofErr w:type="gramEnd"/>
            <w:r>
              <w:t xml:space="preserve"> związanych z transportem żywności w oparciu o aktualne prawodawstwo europejskie.</w:t>
            </w:r>
          </w:p>
        </w:tc>
      </w:tr>
      <w:tr w:rsidR="003613EF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613EF" w:rsidRDefault="00E27E79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613EF" w:rsidRDefault="00E27E79">
            <w:r>
              <w:t xml:space="preserve">W1. Zna podstawowe wymagania dotyczące transportu żywności. </w:t>
            </w:r>
          </w:p>
        </w:tc>
      </w:tr>
      <w:tr w:rsidR="003613E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613EF" w:rsidRDefault="00361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613EF" w:rsidRDefault="00E27E79">
            <w:r>
              <w:t>W2.  Ma wiedzę na temat organizacji transportu</w:t>
            </w:r>
          </w:p>
        </w:tc>
      </w:tr>
      <w:tr w:rsidR="003613E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613EF" w:rsidRDefault="00361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613EF" w:rsidRDefault="00E27E79">
            <w:r>
              <w:t>Umiejętności:</w:t>
            </w:r>
          </w:p>
        </w:tc>
      </w:tr>
      <w:tr w:rsidR="003613E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613EF" w:rsidRDefault="00361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613EF" w:rsidRDefault="00E27E79">
            <w:r>
              <w:t xml:space="preserve">U1. Potrafi dokonać analizy wad i zalet transportu w zależności od jego rodzaju. </w:t>
            </w:r>
          </w:p>
        </w:tc>
      </w:tr>
      <w:tr w:rsidR="003613E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613EF" w:rsidRDefault="00361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613EF" w:rsidRDefault="00E27E79">
            <w:r>
              <w:t>Kompetencje społeczne:</w:t>
            </w:r>
          </w:p>
        </w:tc>
      </w:tr>
      <w:tr w:rsidR="003613EF">
        <w:trPr>
          <w:trHeight w:val="590"/>
        </w:trPr>
        <w:tc>
          <w:tcPr>
            <w:tcW w:w="3942" w:type="dxa"/>
            <w:vMerge/>
            <w:shd w:val="clear" w:color="auto" w:fill="auto"/>
          </w:tcPr>
          <w:p w:rsidR="003613EF" w:rsidRDefault="00361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613EF" w:rsidRDefault="00E27E79">
            <w:r>
              <w:t xml:space="preserve">K1. Ma świadomość roli i wpływu </w:t>
            </w:r>
            <w:proofErr w:type="gramStart"/>
            <w:r>
              <w:t>transportu na jakość</w:t>
            </w:r>
            <w:proofErr w:type="gramEnd"/>
            <w:r>
              <w:t xml:space="preserve"> żywności.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3613EF" w:rsidRDefault="00E27E79">
            <w:pPr>
              <w:jc w:val="both"/>
            </w:pPr>
            <w:r>
              <w:t>Towaroznawstwo produktów zwierzęcych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 xml:space="preserve">Treści programowe modułu </w:t>
            </w:r>
          </w:p>
          <w:p w:rsidR="003613EF" w:rsidRDefault="003613EF"/>
        </w:tc>
        <w:tc>
          <w:tcPr>
            <w:tcW w:w="5344" w:type="dxa"/>
            <w:shd w:val="clear" w:color="auto" w:fill="auto"/>
          </w:tcPr>
          <w:p w:rsidR="003613EF" w:rsidRDefault="00E27E79">
            <w:pPr>
              <w:jc w:val="both"/>
            </w:pPr>
            <w:r>
              <w:t xml:space="preserve">Organizacja transportu żywności w Polsce i na świecie. Podział i techniki transportu. Istota transportu w organizacji rynku żywnościowego. Transport i magazynowanie żywności. Transport chłodniczy. Konteneryzacja. Specyfika obrotu produktami pochodzenia zwierzęcego. </w:t>
            </w:r>
            <w:proofErr w:type="gramStart"/>
            <w:r>
              <w:t>Żywność jako</w:t>
            </w:r>
            <w:proofErr w:type="gramEnd"/>
            <w:r>
              <w:t xml:space="preserve"> szczególny przedmiot obrotu towarowego Procedury związane z transportem żywności.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613EF" w:rsidRDefault="00E27E79">
            <w:r>
              <w:t>Literatura podstawowa</w:t>
            </w:r>
          </w:p>
          <w:p w:rsidR="003613EF" w:rsidRDefault="00E27E79">
            <w:r>
              <w:t xml:space="preserve">Lisińska-Kuśnierz M., </w:t>
            </w:r>
            <w:proofErr w:type="spellStart"/>
            <w:r>
              <w:t>Ucherek</w:t>
            </w:r>
            <w:proofErr w:type="spellEnd"/>
            <w:r>
              <w:t xml:space="preserve"> M., Znakowanie i kodowanie towarów, Wydawnictwo Akademii Ekonomicznej w Krakowie, Kraków, 2005</w:t>
            </w:r>
          </w:p>
          <w:p w:rsidR="003613EF" w:rsidRPr="00275349" w:rsidRDefault="00E27E79">
            <w:pPr>
              <w:rPr>
                <w:lang w:val="en-GB"/>
              </w:rPr>
            </w:pPr>
            <w:r w:rsidRPr="00275349">
              <w:rPr>
                <w:lang w:val="en-GB"/>
              </w:rPr>
              <w:t>Marciniak-Neider D., Neider J.: Podręcznik Spedytora T1, T2, Polish International Freight Forwarders Association</w:t>
            </w:r>
            <w:proofErr w:type="gramStart"/>
            <w:r w:rsidRPr="00275349">
              <w:rPr>
                <w:lang w:val="en-GB"/>
              </w:rPr>
              <w:t>,  Gdynia</w:t>
            </w:r>
            <w:proofErr w:type="gramEnd"/>
            <w:r w:rsidRPr="00275349">
              <w:rPr>
                <w:lang w:val="en-GB"/>
              </w:rPr>
              <w:t xml:space="preserve"> 2011.</w:t>
            </w:r>
          </w:p>
          <w:p w:rsidR="003613EF" w:rsidRDefault="00E27E79">
            <w:r>
              <w:lastRenderedPageBreak/>
              <w:t>Literatura uzupełniająca</w:t>
            </w:r>
          </w:p>
          <w:p w:rsidR="003613EF" w:rsidRDefault="00E27E79">
            <w:r>
              <w:rPr>
                <w:i/>
              </w:rPr>
              <w:t>Karpiel Ł., Skrzypek M.: Towaroznawstwo ogólne. Wydawnictwo Akademii Ekonomicznej w Krakowie, 2000.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613EF" w:rsidRDefault="00E27E79">
            <w:r>
              <w:t>1) prezentacja (projekt),</w:t>
            </w:r>
          </w:p>
          <w:p w:rsidR="003613EF" w:rsidRDefault="00E27E79">
            <w:r>
              <w:t xml:space="preserve">2) ćwiczenia audytoryjne, </w:t>
            </w:r>
          </w:p>
          <w:p w:rsidR="003613EF" w:rsidRDefault="00E27E79">
            <w:r>
              <w:t>3) wykład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613EF" w:rsidRDefault="00E27E79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3613EF" w:rsidRDefault="00E27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3613EF" w:rsidRDefault="00E27E79">
            <w:pPr>
              <w:jc w:val="both"/>
            </w:pPr>
            <w:r>
              <w:t>W1- praca pisemna</w:t>
            </w:r>
          </w:p>
          <w:p w:rsidR="003613EF" w:rsidRDefault="00E27E79">
            <w:pPr>
              <w:jc w:val="both"/>
            </w:pPr>
            <w:r>
              <w:t>W2- praca pisemna</w:t>
            </w:r>
          </w:p>
          <w:p w:rsidR="003613EF" w:rsidRDefault="00E27E79">
            <w:pPr>
              <w:jc w:val="both"/>
            </w:pPr>
            <w:r>
              <w:t>U1 – karty pracy</w:t>
            </w:r>
          </w:p>
          <w:p w:rsidR="003613EF" w:rsidRDefault="00E27E79">
            <w:pPr>
              <w:jc w:val="both"/>
            </w:pPr>
            <w:r>
              <w:t>K1 – dyskusja</w:t>
            </w:r>
          </w:p>
          <w:p w:rsidR="003613EF" w:rsidRDefault="00E27E79">
            <w:pPr>
              <w:jc w:val="both"/>
            </w:pPr>
            <w:r>
              <w:t xml:space="preserve">Formy dokumentowania osiągniętych wyników; </w:t>
            </w:r>
          </w:p>
          <w:p w:rsidR="003613EF" w:rsidRDefault="00E27E79">
            <w:pPr>
              <w:rPr>
                <w:color w:val="000000"/>
                <w:sz w:val="22"/>
                <w:szCs w:val="22"/>
              </w:rPr>
            </w:pPr>
            <w:r>
              <w:t>Lista obecności, prace pisemne, karty pracy</w:t>
            </w:r>
          </w:p>
          <w:p w:rsidR="003613EF" w:rsidRDefault="00E27E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3613EF" w:rsidRDefault="00E27E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3613EF" w:rsidRDefault="00E27E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3613EF" w:rsidRDefault="00E27E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3613EF" w:rsidRDefault="00E27E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613EF">
        <w:tc>
          <w:tcPr>
            <w:tcW w:w="3942" w:type="dxa"/>
            <w:shd w:val="clear" w:color="auto" w:fill="auto"/>
          </w:tcPr>
          <w:p w:rsidR="003613EF" w:rsidRDefault="00E27E79">
            <w:r>
              <w:t>Elementy i wagi mające wpływ na ocenę końcową</w:t>
            </w:r>
          </w:p>
          <w:p w:rsidR="003613EF" w:rsidRDefault="003613EF"/>
          <w:p w:rsidR="003613EF" w:rsidRDefault="003613EF"/>
        </w:tc>
        <w:tc>
          <w:tcPr>
            <w:tcW w:w="5344" w:type="dxa"/>
            <w:shd w:val="clear" w:color="auto" w:fill="auto"/>
          </w:tcPr>
          <w:p w:rsidR="003613EF" w:rsidRDefault="00E27E7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  <w:p w:rsidR="003613EF" w:rsidRDefault="00E27E79">
            <w:pPr>
              <w:jc w:val="both"/>
            </w:pPr>
            <w:r>
              <w:t xml:space="preserve">Ocena z ćwiczeń – średnia ocen z pracy pisemnej (równoważnik ważkości 0,6), kart pracy (równoważnik ważkości 0,4) </w:t>
            </w:r>
          </w:p>
          <w:p w:rsidR="003613EF" w:rsidRDefault="00E27E79">
            <w:pPr>
              <w:jc w:val="both"/>
            </w:pPr>
            <w:r>
              <w:t>Ocena końcowa – ocena z egzaminu pisemnego 50% + 50% ocena z ćwiczeń.</w:t>
            </w:r>
          </w:p>
          <w:p w:rsidR="003613EF" w:rsidRDefault="00E27E7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3613EF">
        <w:trPr>
          <w:trHeight w:val="693"/>
        </w:trPr>
        <w:tc>
          <w:tcPr>
            <w:tcW w:w="3942" w:type="dxa"/>
            <w:shd w:val="clear" w:color="auto" w:fill="auto"/>
          </w:tcPr>
          <w:p w:rsidR="003613EF" w:rsidRDefault="00E27E79">
            <w:pPr>
              <w:jc w:val="both"/>
            </w:pPr>
            <w:r>
              <w:t>Bilans punktów ECTS</w:t>
            </w:r>
          </w:p>
          <w:p w:rsidR="003613EF" w:rsidRDefault="003613EF">
            <w:pPr>
              <w:jc w:val="both"/>
            </w:pPr>
          </w:p>
          <w:p w:rsidR="003613EF" w:rsidRDefault="003613EF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3613EF" w:rsidRDefault="00E27E7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Godziny kontaktowe:</w:t>
            </w:r>
          </w:p>
          <w:p w:rsidR="003613EF" w:rsidRDefault="00E27E79">
            <w:proofErr w:type="gramStart"/>
            <w:r>
              <w:t>udział</w:t>
            </w:r>
            <w:proofErr w:type="gramEnd"/>
            <w:r>
              <w:t xml:space="preserve"> w wykładach i zaliczenie końcowe– 5 godz.,</w:t>
            </w:r>
          </w:p>
          <w:p w:rsidR="003613EF" w:rsidRDefault="00E27E79">
            <w:proofErr w:type="gramStart"/>
            <w:r>
              <w:lastRenderedPageBreak/>
              <w:t>udział</w:t>
            </w:r>
            <w:proofErr w:type="gramEnd"/>
            <w:r>
              <w:t xml:space="preserve"> w zajęciach audytoryjnych i laboratoryjnych – 10 godz.</w:t>
            </w:r>
          </w:p>
          <w:p w:rsidR="003613EF" w:rsidRDefault="00E27E79">
            <w:proofErr w:type="gramStart"/>
            <w:r>
              <w:t>udział</w:t>
            </w:r>
            <w:proofErr w:type="gramEnd"/>
            <w:r>
              <w:t xml:space="preserve"> w konsultacjach 5 </w:t>
            </w:r>
            <w:proofErr w:type="spellStart"/>
            <w:r>
              <w:t>godz</w:t>
            </w:r>
            <w:proofErr w:type="spellEnd"/>
          </w:p>
          <w:p w:rsidR="003613EF" w:rsidRDefault="00E27E79">
            <w:pPr>
              <w:jc w:val="both"/>
            </w:pPr>
            <w:proofErr w:type="gramStart"/>
            <w:r>
              <w:t>liczba</w:t>
            </w:r>
            <w:proofErr w:type="gramEnd"/>
            <w:r>
              <w:t xml:space="preserve"> godzin kontaktowych 20/ 0,8 pkt ECTS</w:t>
            </w:r>
          </w:p>
          <w:p w:rsidR="003613EF" w:rsidRDefault="00E27E7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Godziny </w:t>
            </w:r>
            <w:proofErr w:type="spellStart"/>
            <w:r>
              <w:rPr>
                <w:b/>
                <w:i/>
              </w:rPr>
              <w:t>niekontaktowe</w:t>
            </w:r>
            <w:proofErr w:type="spellEnd"/>
            <w:r>
              <w:rPr>
                <w:b/>
                <w:i/>
              </w:rPr>
              <w:t>:</w:t>
            </w:r>
          </w:p>
          <w:p w:rsidR="003613EF" w:rsidRDefault="00E27E79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do zaliczeń 15 godz.</w:t>
            </w:r>
          </w:p>
          <w:p w:rsidR="003613EF" w:rsidRDefault="00E27E79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sprawozdań 15 godz. </w:t>
            </w:r>
          </w:p>
          <w:p w:rsidR="003613EF" w:rsidRDefault="00E27E79">
            <w:pPr>
              <w:jc w:val="both"/>
            </w:pPr>
            <w:proofErr w:type="gramStart"/>
            <w:r>
              <w:t>liczba</w:t>
            </w:r>
            <w:proofErr w:type="gramEnd"/>
            <w:r>
              <w:t xml:space="preserve"> godzin </w:t>
            </w:r>
            <w:proofErr w:type="spellStart"/>
            <w:r>
              <w:t>niekontaktowych</w:t>
            </w:r>
            <w:proofErr w:type="spellEnd"/>
            <w:r>
              <w:t xml:space="preserve"> 30/1,2 pkt ECTS</w:t>
            </w:r>
          </w:p>
          <w:p w:rsidR="003613EF" w:rsidRDefault="00E27E79">
            <w:pPr>
              <w:jc w:val="both"/>
            </w:pPr>
            <w:r>
              <w:t xml:space="preserve">Łączny nakład pracy studenta to 50 </w:t>
            </w:r>
            <w:proofErr w:type="gramStart"/>
            <w:r>
              <w:t>godz. co</w:t>
            </w:r>
            <w:proofErr w:type="gramEnd"/>
            <w:r>
              <w:t xml:space="preserve"> odpowiada 2 pkt ECTS</w:t>
            </w:r>
          </w:p>
        </w:tc>
      </w:tr>
      <w:tr w:rsidR="003613EF">
        <w:trPr>
          <w:trHeight w:val="718"/>
        </w:trPr>
        <w:tc>
          <w:tcPr>
            <w:tcW w:w="3942" w:type="dxa"/>
            <w:shd w:val="clear" w:color="auto" w:fill="auto"/>
          </w:tcPr>
          <w:p w:rsidR="003613EF" w:rsidRDefault="00E27E79">
            <w: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613EF" w:rsidRDefault="00E27E79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5 godz.; </w:t>
            </w:r>
          </w:p>
          <w:p w:rsidR="003613EF" w:rsidRDefault="00E27E79">
            <w:pPr>
              <w:jc w:val="both"/>
            </w:pPr>
            <w:r>
              <w:t xml:space="preserve">udział w </w:t>
            </w:r>
            <w:proofErr w:type="gramStart"/>
            <w:r>
              <w:t>ćwiczeniach –10  godz</w:t>
            </w:r>
            <w:proofErr w:type="gramEnd"/>
            <w:r>
              <w:t xml:space="preserve">.; </w:t>
            </w:r>
          </w:p>
          <w:p w:rsidR="003613EF" w:rsidRDefault="00E27E79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konsultacjach 5;</w:t>
            </w:r>
          </w:p>
        </w:tc>
      </w:tr>
      <w:tr w:rsidR="00E27E79">
        <w:trPr>
          <w:trHeight w:val="718"/>
        </w:trPr>
        <w:tc>
          <w:tcPr>
            <w:tcW w:w="3942" w:type="dxa"/>
            <w:shd w:val="clear" w:color="auto" w:fill="auto"/>
          </w:tcPr>
          <w:p w:rsidR="00E27E79" w:rsidRDefault="00E27E79" w:rsidP="00E27E79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27E79" w:rsidRDefault="00E27E79" w:rsidP="00E27E79">
            <w:pPr>
              <w:jc w:val="both"/>
            </w:pPr>
            <w:r>
              <w:t>Kod efektu modułowego – kod efektu kierunkowego</w:t>
            </w:r>
          </w:p>
          <w:p w:rsidR="00E27E79" w:rsidRDefault="00E27E79" w:rsidP="00E27E79">
            <w:pPr>
              <w:jc w:val="both"/>
            </w:pPr>
            <w:r>
              <w:t xml:space="preserve">W1 – BC1_W04, </w:t>
            </w:r>
          </w:p>
          <w:p w:rsidR="00E27E79" w:rsidRDefault="00E27E79" w:rsidP="00E27E79">
            <w:pPr>
              <w:jc w:val="both"/>
            </w:pPr>
            <w:r>
              <w:t xml:space="preserve">W2 – BC1_W06, </w:t>
            </w:r>
          </w:p>
          <w:p w:rsidR="00E27E79" w:rsidRDefault="00E27E79" w:rsidP="00E27E79">
            <w:pPr>
              <w:jc w:val="both"/>
            </w:pPr>
            <w:r>
              <w:t xml:space="preserve">U1 – BC1_U06, </w:t>
            </w:r>
          </w:p>
          <w:p w:rsidR="00E27E79" w:rsidRDefault="00E27E79" w:rsidP="00E27E79">
            <w:pPr>
              <w:jc w:val="both"/>
            </w:pPr>
            <w:r>
              <w:t>K1 – BC1_K05</w:t>
            </w:r>
          </w:p>
          <w:p w:rsidR="00E27E79" w:rsidRDefault="00E27E79" w:rsidP="00E27E79">
            <w:pPr>
              <w:jc w:val="both"/>
            </w:pPr>
          </w:p>
          <w:p w:rsidR="00E27E79" w:rsidRDefault="00E27E79" w:rsidP="00E27E79">
            <w:pPr>
              <w:jc w:val="both"/>
            </w:pPr>
            <w:proofErr w:type="gramStart"/>
            <w:r>
              <w:t>W1 –  InzBC</w:t>
            </w:r>
            <w:proofErr w:type="gramEnd"/>
            <w:r>
              <w:t>_W01</w:t>
            </w:r>
          </w:p>
          <w:p w:rsidR="00E27E79" w:rsidRDefault="00E27E79" w:rsidP="00E27E79">
            <w:pPr>
              <w:jc w:val="both"/>
            </w:pPr>
            <w:proofErr w:type="gramStart"/>
            <w:r>
              <w:t>W2 –  InzBC</w:t>
            </w:r>
            <w:proofErr w:type="gramEnd"/>
            <w:r>
              <w:t>_W02</w:t>
            </w:r>
          </w:p>
          <w:p w:rsidR="00E27E79" w:rsidRDefault="00E27E79" w:rsidP="00E27E79">
            <w:pPr>
              <w:jc w:val="both"/>
            </w:pPr>
            <w:proofErr w:type="gramStart"/>
            <w:r>
              <w:t>U1 –  InzBC</w:t>
            </w:r>
            <w:proofErr w:type="gramEnd"/>
            <w:r>
              <w:t>_U03</w:t>
            </w:r>
          </w:p>
        </w:tc>
      </w:tr>
    </w:tbl>
    <w:p w:rsidR="003613EF" w:rsidRDefault="003613EF"/>
    <w:p w:rsidR="003613EF" w:rsidRDefault="003613EF"/>
    <w:p w:rsidR="003613EF" w:rsidRDefault="003613EF"/>
    <w:p w:rsidR="003613EF" w:rsidRDefault="003613EF"/>
    <w:p w:rsidR="003613EF" w:rsidRDefault="003613EF">
      <w:pPr>
        <w:rPr>
          <w:i/>
        </w:rPr>
      </w:pPr>
    </w:p>
    <w:p w:rsidR="003613EF" w:rsidRDefault="003613EF"/>
    <w:p w:rsidR="003613EF" w:rsidRDefault="003613EF"/>
    <w:sectPr w:rsidR="003613EF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0A" w:rsidRDefault="00E27E79">
      <w:r>
        <w:separator/>
      </w:r>
    </w:p>
  </w:endnote>
  <w:endnote w:type="continuationSeparator" w:id="0">
    <w:p w:rsidR="00B45F0A" w:rsidRDefault="00E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EF" w:rsidRDefault="00E27E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34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75349">
      <w:rPr>
        <w:noProof/>
        <w:color w:val="000000"/>
      </w:rPr>
      <w:t>3</w:t>
    </w:r>
    <w:r>
      <w:rPr>
        <w:color w:val="000000"/>
      </w:rPr>
      <w:fldChar w:fldCharType="end"/>
    </w:r>
  </w:p>
  <w:p w:rsidR="003613EF" w:rsidRDefault="003613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0A" w:rsidRDefault="00E27E79">
      <w:r>
        <w:separator/>
      </w:r>
    </w:p>
  </w:footnote>
  <w:footnote w:type="continuationSeparator" w:id="0">
    <w:p w:rsidR="00B45F0A" w:rsidRDefault="00E27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EF" w:rsidRDefault="00E27E79">
    <w:pPr>
      <w:tabs>
        <w:tab w:val="left" w:pos="5205"/>
      </w:tabs>
      <w:spacing w:after="120"/>
    </w:pPr>
    <w:r>
      <w:tab/>
    </w:r>
  </w:p>
  <w:p w:rsidR="003613EF" w:rsidRDefault="003613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49A9"/>
    <w:multiLevelType w:val="multilevel"/>
    <w:tmpl w:val="52260BB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EF"/>
    <w:rsid w:val="00275349"/>
    <w:rsid w:val="003613EF"/>
    <w:rsid w:val="00B45F0A"/>
    <w:rsid w:val="00E2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WXSnedNKRSWBHa8nm9Dx8CJzMw==">CgMxLjAyCGguZ2pkZ3hzOAByITFEbUNua2lzQUhGS2huUE1XdmVyNEROWTJKdUttWTViYg==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2024-11-15T08:02:00Z</dcterms:created>
  <dcterms:modified xsi:type="dcterms:W3CDTF">2024-12-04T11:07:00Z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