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Karta opisu zajęć (sylabus)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86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942"/>
        <w:gridCol w:w="5344"/>
        <w:tblGridChange w:id="0">
          <w:tblGrid>
            <w:gridCol w:w="3942"/>
            <w:gridCol w:w="5344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Nazwa kierunku studiów</w:t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Bezpieczeństwo i certyfikacja żywności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Nazwa modułu, także nazwa w języku angielskim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Dodatki do żywności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Food additives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Język wykładowy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polski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Rodzaj modułu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obowiązkowy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Poziom studiów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pierwszego stopnia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Forma studiów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niestacjonarne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Rok studiów dla kierunku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III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Semestr dla kierunku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Liczba punktów ECTS z podziałem na kontaktowe/niekontaktowe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 (0,48/0,52)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Tytuł naukowy/stopień naukowy, imię i nazwisko osoby odpowiedzialnej za moduł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Dr inż. Marek Kowalczyk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Jednostka oferująca moduł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Katedra Oceny Jakości i Przetwórstwa 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Produktów Zwierzęcych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Cel modułu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Zapoznanie studentów z podstawowym podziałem dodatków do żywności, ich własnościami funkcjonalnymi oraz możliwościami stosowania do poszczególnych grup produktów spożywczych oraz  zapoznanie z ustawodawstwem polskim oraz Unii Europejskiej, w zakresie dodatków do żywności.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36" w:hRule="atLeast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Efekty uczenia się dla modułu to opis zasobu wiedzy, umiejętności i kompetencji społecznych, które student osiągnie po zrealizowaniu zajęć.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Wiedza: </w:t>
            </w:r>
          </w:p>
        </w:tc>
      </w:tr>
      <w:tr>
        <w:trPr>
          <w:cantSplit w:val="1"/>
          <w:trHeight w:val="233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87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Student wie jakie mają zastosowanie dodatki do żywności </w:t>
            </w:r>
          </w:p>
        </w:tc>
      </w:tr>
      <w:tr>
        <w:trPr>
          <w:cantSplit w:val="1"/>
          <w:trHeight w:val="618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87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Student zna akty prawne dotyczące stosowania dodatków do żywności</w:t>
            </w:r>
          </w:p>
        </w:tc>
      </w:tr>
      <w:tr>
        <w:trPr>
          <w:cantSplit w:val="1"/>
          <w:trHeight w:val="233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Umiejętności:</w:t>
            </w:r>
          </w:p>
        </w:tc>
      </w:tr>
      <w:tr>
        <w:trPr>
          <w:cantSplit w:val="1"/>
          <w:trHeight w:val="233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Student umie sklasyfikować dodatki do żywności.</w:t>
            </w:r>
          </w:p>
        </w:tc>
      </w:tr>
      <w:tr>
        <w:trPr>
          <w:cantSplit w:val="1"/>
          <w:trHeight w:val="550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Student potrafi  ocenić wpływ  dodatków na jakość  żywności</w:t>
            </w:r>
          </w:p>
        </w:tc>
      </w:tr>
      <w:tr>
        <w:trPr>
          <w:cantSplit w:val="1"/>
          <w:trHeight w:val="233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Kompetencje społeczne:</w:t>
            </w:r>
          </w:p>
        </w:tc>
      </w:tr>
      <w:tr>
        <w:trPr>
          <w:cantSplit w:val="1"/>
          <w:trHeight w:val="233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87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Student ma świadomość roli dodatków do żywności we współczesnej technologii żywności</w:t>
            </w:r>
          </w:p>
        </w:tc>
      </w:tr>
      <w:tr>
        <w:trPr>
          <w:cantSplit w:val="1"/>
          <w:trHeight w:val="233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87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Student ma świadomość zarówno korzyści, jak i ograniczeń wynikających ze stosowania dodatków do żywności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Odniesienie modułowych efektów uczenia się do kierunkowych efektów uczenia się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Kod efektu modułowego – kod efektu kierunkowego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W1 - BC1_W10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W2 – BC1_W04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U1 – BC1_U01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U2 –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BC1_U10 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K1 – BC1_K01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K2 –BC1_K05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Odniesienie modułowych efektów uczenia się do efektów inżynierskich (jeżeli dotyczy)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Kod efektu modułowego – kod efektu inżynierskiego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W1 - InzBC_W01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Wymagania wstępne i dodatkowe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66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Treści programowe modułu 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Zapoznanie studentów z definicjami, podziałem i charakterystyką substancji dodatkowych wykorzystywanych w technologii żywności. Przedstawienie obowiązujących aktów prawnych, regulujących stosowanie dodatków do żywności. 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Omówienie roli i znaczenia poszczególnych grup dodatków z perspektywy konsumenta i producenta żywności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Wykaz literatury podstawowej i uzupełniającej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Sikorski Z. (red), Chemia  Żywności. Składniki  żywności TOM 1, Wydawnictwo Naukowo – Techniczne, Warszawa 2010 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Rutkowska J., Przewodnik do  ćwiczeń z chemii  żywności, Wydawnictwo SGGW, Warszawa 2008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Tajner-Czopek A., Kita A., Analiza żywności - jakość produktów spożywczych, Wydawnictwo Uniwersytetu Przyrodniczego we Wrocławiu, 2005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Akty prawne: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Ustawa z dnia 25 sierpnia 2006 r. o bezpieczeństwie żywności i żywienia 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Rozporządzenie Ministra Zdrowia z dnia 22 listopada 2010r. w sprawie dozwolonych substancji dodatkowych (Dz. U. z 2010, nr 232, poz. 1525 z późn. zm.)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Rozporządzenie Parlamentu Europejskiego i Rady (WE) nr 1333/2008 z dnia 16 grudnia 2008r. w sprawie dodatków do żywności (z późn. zm.) 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Planowane formy/działania/metody dydaktyczne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Wykład multimedialny, wspomagany narzędziami do nauki zdalnej, dyskusja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Sposoby weryfikacji oraz formy dokumentowania osiągniętych efektów uczenia się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SPOSOBY WERYFIKACJI: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W1, W2, U1, U2 – ocena z zaliczenia pisemnego dotyczącego materiału wykładowego 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U1, U2, K1, K2 – Ocena stopnia przygotowania do zajęć, ocena aktywności na zajęciach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FORMY DOKUMENTOWANIA OSIĄGNIĘTYCH EFEKTÓW UCZENIA SIĘ: </w:t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Lista obecności, prace zaliczeniowe archiwizowane w formie papierowej.</w:t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Szczegółowe kryteria przy ocenie zaliczenia i prac kontrolnych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7" w:right="0" w:hanging="218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wykazuje dostateczny (3,0) stopień wiedzy, umiejętności lub kompetencji, gdy uzyskuje od 51 do 60% sumy punktów określających maksymalny poziom wiedzy lub umiejętności z danego przedmiotu (odpowiednio, przy zaliczeniu cząstkowym – jego części),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7" w:right="0" w:hanging="218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wykazuje dostateczny plus (3,5) stopień wiedzy, umiejętności lub kompetencji, gdy uzyskuje od 61 do 70% sumy punktów określających maksymalny poziom wiedzy lub umiejętności z danego przedmiotu (odpowiednio – jego części),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7" w:right="0" w:hanging="218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wykazuje dobry stopień (4,0) wiedzy, umiejętności lub kompetencji, gdy uzyskuje od 71 do 80% sumy punktów określających maksymalny poziom wiedzy lub umiejętności z danego przedmiotu (odpowiednio – jego części),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7" w:right="0" w:hanging="218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wykazuje plus dobry stopień (4,5) wiedzy, umiejętności lub kompetencji, gdy uzyskuje od 81 do 90% sumy punktów określających maksymalny poziom wiedzy lub umiejętności z danego przedmiotu (odpowiednio – jego części),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7" w:right="0" w:hanging="218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wykazuje bardzo dobry stopień (5,0) wiedzy, umiejętności lub kompetencji, gdy uzyskuje powyżej 91% sumy punktów określających maksymalny poziom wiedzy lub umiejętności z danego przedmiotu (odpowiednio – jego części).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Elementy i wagi mające wpływ na ocenę końcową</w:t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Ocena końcowa = 80% wynik zaliczenia pisemnego z materiału wykładowego + 20% obecność i aktywny udział w zajęciach.</w:t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Warunki te są przedstawiane na pierwszych zajęciach z modułu.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2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Bilans punktów ECTS</w:t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Formy zajęć: </w:t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Kontaktowe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7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wykład (10 godz./0,4 ECTS),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7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konsultacje (2 godz./0,08ECTS)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Łącznie – 12 godz./0,48 ECTS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Niekontaktowe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7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przygotowanie do zajęć (5 godz./0,2 ECTS),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7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studiowanie literatury (5 godz./0,2 ECTS),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7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p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rzygotowanie do zaliczenia (3 godz./0,12 ECTS)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Łącznie 13 godz./0,52 ECTS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Nakład pracy związany z zajęciami wymagającymi bezpośredniego udziału nauczyciela akademickiego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udział w wykładach – 10 godz.; w konsultacjach – 2 godz.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first"/>
      <w:footerReference r:id="rId8" w:type="default"/>
      <w:pgSz w:h="16838" w:w="11906" w:orient="portrait"/>
      <w:pgMar w:bottom="1078" w:top="1418" w:left="1418" w:right="1418" w:header="709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/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Załącznik  nr 4 do Uchwały nr 3/2023-2024</w:t>
    </w:r>
  </w:p>
  <w:p w:rsidR="00000000" w:rsidDel="00000000" w:rsidP="00000000" w:rsidRDefault="00000000" w:rsidRPr="00000000" w14:paraId="0000008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  Senatu UP w Lublinie z dnia 27 października 2023 r.</w:t>
    </w:r>
  </w:p>
  <w:p w:rsidR="00000000" w:rsidDel="00000000" w:rsidP="00000000" w:rsidRDefault="00000000" w:rsidRPr="00000000" w14:paraId="0000008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5205"/>
      </w:tabs>
      <w:spacing w:after="12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</w:r>
  </w:p>
  <w:p w:rsidR="00000000" w:rsidDel="00000000" w:rsidP="00000000" w:rsidRDefault="00000000" w:rsidRPr="00000000" w14:paraId="0000008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−"/>
      <w:lvlJc w:val="left"/>
      <w:pPr>
        <w:ind w:left="502" w:hanging="360"/>
      </w:pPr>
      <w:rPr>
        <w:rFonts w:ascii="Noto Sans Symbols" w:cs="Noto Sans Symbols" w:eastAsia="Noto Sans Symbols" w:hAnsi="Noto Sans Symbols"/>
        <w:i w:val="0"/>
        <w:color w:val="000000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vertAlign w:val="baseline"/>
      </w:rPr>
    </w:lvl>
  </w:abstractNum>
  <w:abstractNum w:abstractNumId="2"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cs="Noto Sans Symbols" w:eastAsia="Noto Sans Symbols" w:hAnsi="Noto Sans Symbols"/>
        <w:i w:val="0"/>
        <w:color w:val="000000"/>
        <w:sz w:val="22"/>
        <w:szCs w:val="22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">
    <w:lvl w:ilvl="0">
      <w:start w:val="1"/>
      <w:numFmt w:val="decimal"/>
      <w:lvlText w:val="%1."/>
      <w:lvlJc w:val="left"/>
      <w:pPr>
        <w:ind w:left="387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10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2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4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6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8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70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2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47" w:hanging="180"/>
      </w:pPr>
      <w:rPr>
        <w:vertAlign w:val="baseline"/>
      </w:rPr>
    </w:lvl>
  </w:abstractNum>
  <w:abstractNum w:abstractNumId="4"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5">
    <w:lvl w:ilvl="0">
      <w:start w:val="1"/>
      <w:numFmt w:val="decimal"/>
      <w:lvlText w:val="%1."/>
      <w:lvlJc w:val="left"/>
      <w:pPr>
        <w:ind w:left="387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10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2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4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6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8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70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2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47" w:hanging="180"/>
      </w:pPr>
      <w:rPr>
        <w:vertAlign w:val="baseli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>
    <w:name w:val="Normalny"/>
    <w:next w:val="Normalny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character" w:styleId="Domyślnaczcionkaakapitu">
    <w:name w:val="Domyślna czcionka akapitu"/>
    <w:next w:val="Domyślnaczcionkaakapitu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Standardowy">
    <w:name w:val="Standardowy"/>
    <w:next w:val="Standardowy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>
    <w:name w:val="Bez listy"/>
    <w:next w:val="Bezlisty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Nagłówek">
    <w:name w:val="Nagłówek"/>
    <w:basedOn w:val="Normalny"/>
    <w:next w:val="Nagłówek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character" w:styleId="NagłówekZnak">
    <w:name w:val="Nagłówek Znak"/>
    <w:basedOn w:val="Domyślnaczcionkaakapitu"/>
    <w:next w:val="NagłówekZnak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eastAsia="pl-PL"/>
    </w:rPr>
  </w:style>
  <w:style w:type="paragraph" w:styleId="Stopka">
    <w:name w:val="Stopka"/>
    <w:basedOn w:val="Normalny"/>
    <w:next w:val="Stopk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character" w:styleId="StopkaZnak">
    <w:name w:val="Stopka Znak"/>
    <w:basedOn w:val="Domyślnaczcionkaakapitu"/>
    <w:next w:val="StopkaZnak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eastAsia="pl-PL"/>
    </w:rPr>
  </w:style>
  <w:style w:type="paragraph" w:styleId="Akapitzlistą">
    <w:name w:val="Akapit z listą"/>
    <w:basedOn w:val="Normalny"/>
    <w:next w:val="Akapitzlistą"/>
    <w:autoRedefine w:val="0"/>
    <w:hidden w:val="0"/>
    <w:qFormat w:val="0"/>
    <w:pPr>
      <w:suppressAutoHyphens w:val="1"/>
      <w:spacing w:line="1" w:lineRule="atLeast"/>
      <w:ind w:left="720" w:leftChars="-1" w:rightChars="0" w:firstLineChars="-1"/>
      <w:contextualSpacing w:val="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paragraph" w:styleId="Default">
    <w:name w:val="Default"/>
    <w:next w:val="Default"/>
    <w:autoRedefine w:val="0"/>
    <w:hidden w:val="0"/>
    <w:qFormat w:val="0"/>
    <w:pPr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paragraph" w:styleId="Tekstkomentarza">
    <w:name w:val="Tekst komentarza"/>
    <w:basedOn w:val="Normalny"/>
    <w:next w:val="Tekstkomentarz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ar-SA" w:eastAsia="pl-PL" w:val="pl-PL"/>
    </w:rPr>
  </w:style>
  <w:style w:type="character" w:styleId="TekstkomentarzaZnak">
    <w:name w:val="Tekst komentarza Znak"/>
    <w:basedOn w:val="Domyślnaczcionkaakapitu"/>
    <w:next w:val="TekstkomentarzaZnak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eastAsia="pl-PL"/>
    </w:rPr>
  </w:style>
  <w:style w:type="character" w:styleId="Odwołaniedokomentarza">
    <w:name w:val="Odwołanie do komentarza"/>
    <w:basedOn w:val="Domyślnaczcionkaakapitu"/>
    <w:next w:val="Odwołaniedokomentarza"/>
    <w:autoRedefine w:val="0"/>
    <w:hidden w:val="0"/>
    <w:qFormat w:val="1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Tematkomentarza">
    <w:name w:val="Temat komentarza"/>
    <w:basedOn w:val="Tekstkomentarza"/>
    <w:next w:val="Tekstkomentarz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pl-PL" w:val="pl-PL"/>
    </w:rPr>
  </w:style>
  <w:style w:type="character" w:styleId="TematkomentarzaZnak">
    <w:name w:val="Temat komentarza Znak"/>
    <w:basedOn w:val="TekstkomentarzaZnak"/>
    <w:next w:val="TematkomentarzaZnak"/>
    <w:autoRedefine w:val="0"/>
    <w:hidden w:val="0"/>
    <w:qFormat w:val="0"/>
    <w:rPr>
      <w:rFonts w:ascii="Times New Roman" w:cs="Times New Roman" w:eastAsia="Times New Roman" w:hAnsi="Times New Roman"/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eastAsia="pl-PL"/>
    </w:rPr>
  </w:style>
  <w:style w:type="paragraph" w:styleId="Tekstdymka">
    <w:name w:val="Tekst dymka"/>
    <w:basedOn w:val="Normalny"/>
    <w:next w:val="Tekstdymk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eastAsia="Times New Roman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pl-PL" w:val="pl-PL"/>
    </w:rPr>
  </w:style>
  <w:style w:type="character" w:styleId="TekstdymkaZnak">
    <w:name w:val="Tekst dymka Znak"/>
    <w:basedOn w:val="Domyślnaczcionkaakapitu"/>
    <w:next w:val="TekstdymkaZnak"/>
    <w:autoRedefine w:val="0"/>
    <w:hidden w:val="0"/>
    <w:qFormat w:val="0"/>
    <w:rPr>
      <w:rFonts w:ascii="Tahoma" w:cs="Tahoma" w:eastAsia="Times New Roman" w:hAnsi="Tahoma"/>
      <w:w w:val="100"/>
      <w:position w:val="-1"/>
      <w:sz w:val="16"/>
      <w:szCs w:val="16"/>
      <w:effect w:val="none"/>
      <w:vertAlign w:val="baseline"/>
      <w:cs w:val="0"/>
      <w:em w:val="none"/>
      <w:lang w:eastAsia="pl-PL"/>
    </w:rPr>
  </w:style>
  <w:style w:type="character" w:styleId="Pogrubienie">
    <w:name w:val="Pogrubienie"/>
    <w:basedOn w:val="Domyślnaczcionkaakapitu"/>
    <w:next w:val="Pogrubienie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g/pNyOA73GAWCN9G/xYe8frRsrQ==">CgMxLjA4AHIhMVNRTWlxU3dhZFdDaVRCSGZMZmcwUktzcFdqLWZzWEJ3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2024-11-14T11:29:00Z</dcterms:created>
  <dc:creator>1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str>cd109857bd893aa5229ff7a528581289bcc9adf34ec20d76f2a2aba6464d5bbe</vt:lpstr>
  </property>
</Properties>
</file>