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C3B" w:rsidRDefault="008D68EA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155C3B" w:rsidRDefault="008D68EA">
      <w:pPr>
        <w:rPr>
          <w:b/>
        </w:rPr>
      </w:pPr>
      <w:r>
        <w:rPr>
          <w:b/>
        </w:rPr>
        <w:t>Karta opisu zajęć (sylabus)</w:t>
      </w:r>
    </w:p>
    <w:p w:rsidR="00155C3B" w:rsidRDefault="00155C3B">
      <w:pPr>
        <w:rPr>
          <w:b/>
        </w:rPr>
      </w:pPr>
    </w:p>
    <w:tbl>
      <w:tblPr>
        <w:tblStyle w:val="a0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155C3B">
        <w:tc>
          <w:tcPr>
            <w:tcW w:w="3942" w:type="dxa"/>
            <w:shd w:val="clear" w:color="auto" w:fill="auto"/>
          </w:tcPr>
          <w:p w:rsidR="00155C3B" w:rsidRDefault="008D68EA">
            <w:r>
              <w:t xml:space="preserve">Nazwa kierunku studiów </w:t>
            </w:r>
          </w:p>
          <w:p w:rsidR="00155C3B" w:rsidRDefault="00155C3B"/>
        </w:tc>
        <w:tc>
          <w:tcPr>
            <w:tcW w:w="5344" w:type="dxa"/>
            <w:shd w:val="clear" w:color="auto" w:fill="auto"/>
          </w:tcPr>
          <w:p w:rsidR="00155C3B" w:rsidRDefault="008D68EA">
            <w:r>
              <w:t>Bezpieczeństwo i certyfikacja żywności</w:t>
            </w:r>
          </w:p>
        </w:tc>
      </w:tr>
      <w:tr w:rsidR="00155C3B">
        <w:tc>
          <w:tcPr>
            <w:tcW w:w="3942" w:type="dxa"/>
            <w:shd w:val="clear" w:color="auto" w:fill="auto"/>
          </w:tcPr>
          <w:p w:rsidR="00155C3B" w:rsidRDefault="008D68EA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155C3B" w:rsidRDefault="008D68E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Biologia molekularna</w:t>
            </w:r>
          </w:p>
          <w:p w:rsidR="00155C3B" w:rsidRDefault="008D68EA">
            <w:proofErr w:type="spellStart"/>
            <w:r>
              <w:rPr>
                <w:sz w:val="22"/>
                <w:szCs w:val="22"/>
              </w:rPr>
              <w:t>Molecular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biology</w:t>
            </w:r>
            <w:proofErr w:type="spellEnd"/>
          </w:p>
        </w:tc>
      </w:tr>
      <w:tr w:rsidR="00155C3B">
        <w:tc>
          <w:tcPr>
            <w:tcW w:w="3942" w:type="dxa"/>
            <w:shd w:val="clear" w:color="auto" w:fill="auto"/>
          </w:tcPr>
          <w:p w:rsidR="00155C3B" w:rsidRDefault="008D68EA">
            <w:r>
              <w:t xml:space="preserve">Język wykładowy </w:t>
            </w:r>
          </w:p>
          <w:p w:rsidR="00155C3B" w:rsidRDefault="00155C3B"/>
        </w:tc>
        <w:tc>
          <w:tcPr>
            <w:tcW w:w="5344" w:type="dxa"/>
            <w:shd w:val="clear" w:color="auto" w:fill="auto"/>
          </w:tcPr>
          <w:p w:rsidR="00155C3B" w:rsidRDefault="008D68EA">
            <w:r>
              <w:t>j. angielski</w:t>
            </w:r>
          </w:p>
        </w:tc>
      </w:tr>
      <w:tr w:rsidR="00155C3B">
        <w:tc>
          <w:tcPr>
            <w:tcW w:w="3942" w:type="dxa"/>
            <w:shd w:val="clear" w:color="auto" w:fill="auto"/>
          </w:tcPr>
          <w:p w:rsidR="00155C3B" w:rsidRDefault="008D68EA">
            <w:r>
              <w:t xml:space="preserve">Rodzaj modułu </w:t>
            </w:r>
          </w:p>
          <w:p w:rsidR="00155C3B" w:rsidRDefault="00155C3B"/>
        </w:tc>
        <w:tc>
          <w:tcPr>
            <w:tcW w:w="5344" w:type="dxa"/>
            <w:shd w:val="clear" w:color="auto" w:fill="auto"/>
          </w:tcPr>
          <w:p w:rsidR="00155C3B" w:rsidRDefault="008D68EA">
            <w:r>
              <w:t>fakultatywny</w:t>
            </w:r>
          </w:p>
        </w:tc>
      </w:tr>
      <w:tr w:rsidR="00155C3B">
        <w:tc>
          <w:tcPr>
            <w:tcW w:w="3942" w:type="dxa"/>
            <w:shd w:val="clear" w:color="auto" w:fill="auto"/>
          </w:tcPr>
          <w:p w:rsidR="00155C3B" w:rsidRDefault="008D68EA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155C3B" w:rsidRDefault="008D68EA">
            <w:r>
              <w:t>pierwszego stopnia</w:t>
            </w:r>
          </w:p>
        </w:tc>
      </w:tr>
      <w:tr w:rsidR="00155C3B">
        <w:tc>
          <w:tcPr>
            <w:tcW w:w="3942" w:type="dxa"/>
            <w:shd w:val="clear" w:color="auto" w:fill="auto"/>
          </w:tcPr>
          <w:p w:rsidR="00155C3B" w:rsidRDefault="008D68EA">
            <w:r>
              <w:t>Forma studiów</w:t>
            </w:r>
          </w:p>
          <w:p w:rsidR="00155C3B" w:rsidRDefault="00155C3B"/>
        </w:tc>
        <w:tc>
          <w:tcPr>
            <w:tcW w:w="5344" w:type="dxa"/>
            <w:shd w:val="clear" w:color="auto" w:fill="auto"/>
          </w:tcPr>
          <w:p w:rsidR="00155C3B" w:rsidRDefault="008D68EA">
            <w:r>
              <w:t>niestacjonarne</w:t>
            </w:r>
          </w:p>
        </w:tc>
      </w:tr>
      <w:tr w:rsidR="00155C3B">
        <w:tc>
          <w:tcPr>
            <w:tcW w:w="3942" w:type="dxa"/>
            <w:shd w:val="clear" w:color="auto" w:fill="auto"/>
          </w:tcPr>
          <w:p w:rsidR="00155C3B" w:rsidRDefault="008D68EA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155C3B" w:rsidRDefault="008D68EA">
            <w:r>
              <w:t>III</w:t>
            </w:r>
          </w:p>
        </w:tc>
      </w:tr>
      <w:tr w:rsidR="00155C3B">
        <w:tc>
          <w:tcPr>
            <w:tcW w:w="3942" w:type="dxa"/>
            <w:shd w:val="clear" w:color="auto" w:fill="auto"/>
          </w:tcPr>
          <w:p w:rsidR="00155C3B" w:rsidRDefault="008D68EA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155C3B" w:rsidRDefault="008D68EA">
            <w:r>
              <w:t>5</w:t>
            </w:r>
          </w:p>
        </w:tc>
      </w:tr>
      <w:tr w:rsidR="00155C3B">
        <w:tc>
          <w:tcPr>
            <w:tcW w:w="3942" w:type="dxa"/>
            <w:shd w:val="clear" w:color="auto" w:fill="auto"/>
          </w:tcPr>
          <w:p w:rsidR="00155C3B" w:rsidRDefault="008D68EA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155C3B" w:rsidRDefault="008D68EA">
            <w:r>
              <w:rPr>
                <w:sz w:val="22"/>
                <w:szCs w:val="22"/>
              </w:rPr>
              <w:t>3 (1,2/1,8)</w:t>
            </w:r>
          </w:p>
        </w:tc>
      </w:tr>
      <w:tr w:rsidR="00155C3B">
        <w:tc>
          <w:tcPr>
            <w:tcW w:w="3942" w:type="dxa"/>
            <w:shd w:val="clear" w:color="auto" w:fill="auto"/>
          </w:tcPr>
          <w:p w:rsidR="00155C3B" w:rsidRDefault="008D68EA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155C3B" w:rsidRDefault="008D68EA">
            <w:r>
              <w:t>dr Angelika Tkaczyk-</w:t>
            </w:r>
            <w:proofErr w:type="spellStart"/>
            <w:r>
              <w:t>Wlizło</w:t>
            </w:r>
            <w:proofErr w:type="spellEnd"/>
          </w:p>
        </w:tc>
      </w:tr>
      <w:tr w:rsidR="00155C3B">
        <w:tc>
          <w:tcPr>
            <w:tcW w:w="3942" w:type="dxa"/>
            <w:shd w:val="clear" w:color="auto" w:fill="auto"/>
          </w:tcPr>
          <w:p w:rsidR="00155C3B" w:rsidRDefault="008D68EA">
            <w:r>
              <w:t>Jednostka oferująca moduł</w:t>
            </w:r>
          </w:p>
          <w:p w:rsidR="00155C3B" w:rsidRDefault="00155C3B"/>
        </w:tc>
        <w:tc>
          <w:tcPr>
            <w:tcW w:w="5344" w:type="dxa"/>
            <w:shd w:val="clear" w:color="auto" w:fill="auto"/>
          </w:tcPr>
          <w:p w:rsidR="00155C3B" w:rsidRDefault="008D68EA">
            <w:r>
              <w:rPr>
                <w:sz w:val="22"/>
                <w:szCs w:val="22"/>
              </w:rPr>
              <w:t>Instytut Biologicznych Podstaw Produkcji Zwierzęcej</w:t>
            </w:r>
          </w:p>
        </w:tc>
      </w:tr>
      <w:tr w:rsidR="00155C3B">
        <w:tc>
          <w:tcPr>
            <w:tcW w:w="3942" w:type="dxa"/>
            <w:shd w:val="clear" w:color="auto" w:fill="auto"/>
          </w:tcPr>
          <w:p w:rsidR="00155C3B" w:rsidRDefault="008D68EA">
            <w:r>
              <w:t>Cel modułu</w:t>
            </w:r>
          </w:p>
          <w:p w:rsidR="00155C3B" w:rsidRDefault="00155C3B"/>
        </w:tc>
        <w:tc>
          <w:tcPr>
            <w:tcW w:w="5344" w:type="dxa"/>
            <w:shd w:val="clear" w:color="auto" w:fill="auto"/>
          </w:tcPr>
          <w:p w:rsidR="00155C3B" w:rsidRDefault="008D68EA">
            <w:r>
              <w:rPr>
                <w:sz w:val="22"/>
                <w:szCs w:val="22"/>
              </w:rPr>
              <w:t>Podstawowe metody i techniki z zakresu biologii molekularnej. Kierunki badań oraz praktyczne wykorzystanie osiągnięć z zakresu biologii molekularnej</w:t>
            </w:r>
          </w:p>
        </w:tc>
      </w:tr>
      <w:tr w:rsidR="00155C3B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155C3B" w:rsidRDefault="008D68EA">
            <w:pPr>
              <w:jc w:val="both"/>
            </w:pPr>
            <w:r>
              <w:t>Efekty uczenia się dla modułu to opis zasobu wiedzy, umiejętności i kompetencji społecznych, które student</w:t>
            </w:r>
            <w:r>
              <w:t xml:space="preserve">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155C3B" w:rsidRDefault="008D68EA">
            <w:r>
              <w:t xml:space="preserve">Wiedza: </w:t>
            </w:r>
          </w:p>
        </w:tc>
      </w:tr>
      <w:tr w:rsidR="00155C3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55C3B" w:rsidRDefault="00155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55C3B" w:rsidRDefault="008D68EA">
            <w:r>
              <w:t>W1. Ma wiedzę na temat podstawowych pojęć z zakresu biologii molekularnej i stosowanych podstawowych metod badawczych. Rozumie związki między osiągnięciami biologii molekularnej a możliwościami ich wykorzystania w różnych kierunkach badań.</w:t>
            </w:r>
          </w:p>
        </w:tc>
      </w:tr>
      <w:tr w:rsidR="00155C3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55C3B" w:rsidRDefault="00155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55C3B" w:rsidRDefault="008D68EA">
            <w:r>
              <w:t>Umiejętności:</w:t>
            </w:r>
          </w:p>
        </w:tc>
      </w:tr>
      <w:tr w:rsidR="00155C3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55C3B" w:rsidRDefault="00155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55C3B" w:rsidRDefault="008D68EA">
            <w:r>
              <w:t>U1. Wykazuje umiejętność krytycznej analizy i selekcji informacji dotyczących osiągnięć biologii molekularnej.</w:t>
            </w:r>
          </w:p>
        </w:tc>
      </w:tr>
      <w:tr w:rsidR="00155C3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55C3B" w:rsidRDefault="00155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55C3B" w:rsidRDefault="008D68EA">
            <w:r>
              <w:t>Kompetencje społeczne:</w:t>
            </w:r>
          </w:p>
        </w:tc>
      </w:tr>
      <w:tr w:rsidR="00155C3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55C3B" w:rsidRDefault="00155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55C3B" w:rsidRDefault="008D68EA">
            <w:r>
              <w:t>K1. Ma świadomość znaczenia technik biologii molekularnej w różnych dziedzinach badań teoretycznych i aplikacyjnych.</w:t>
            </w:r>
          </w:p>
        </w:tc>
      </w:tr>
      <w:tr w:rsidR="00155C3B">
        <w:tc>
          <w:tcPr>
            <w:tcW w:w="3942" w:type="dxa"/>
            <w:shd w:val="clear" w:color="auto" w:fill="auto"/>
          </w:tcPr>
          <w:p w:rsidR="00155C3B" w:rsidRDefault="008D68EA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155C3B" w:rsidRDefault="008D68EA">
            <w:pPr>
              <w:jc w:val="both"/>
            </w:pPr>
            <w:r>
              <w:rPr>
                <w:sz w:val="22"/>
                <w:szCs w:val="22"/>
              </w:rPr>
              <w:t>zaliczony moduł „Genetyka”</w:t>
            </w:r>
          </w:p>
        </w:tc>
      </w:tr>
      <w:tr w:rsidR="00155C3B">
        <w:tc>
          <w:tcPr>
            <w:tcW w:w="3942" w:type="dxa"/>
            <w:shd w:val="clear" w:color="auto" w:fill="auto"/>
          </w:tcPr>
          <w:p w:rsidR="00155C3B" w:rsidRDefault="008D68EA">
            <w:r>
              <w:t xml:space="preserve">Treści programowe modułu </w:t>
            </w:r>
          </w:p>
          <w:p w:rsidR="00155C3B" w:rsidRDefault="00155C3B"/>
        </w:tc>
        <w:tc>
          <w:tcPr>
            <w:tcW w:w="5344" w:type="dxa"/>
            <w:shd w:val="clear" w:color="auto" w:fill="auto"/>
          </w:tcPr>
          <w:p w:rsidR="00155C3B" w:rsidRDefault="008D68EA">
            <w:r>
              <w:t>Zasady pracy w laboratorium biologii molekularnej. Rodzaje i sposób pobierania materiału biologicznego do badań z zakresu biologii molekularnej. Podstawy wybranych metod i technik biologii molekularnej. Markery molekularne wykorzystywane w różnych kierunka</w:t>
            </w:r>
            <w:r>
              <w:t>ch badań. Specyfika budowy i funkcji genomu jądrowego (</w:t>
            </w:r>
            <w:proofErr w:type="spellStart"/>
            <w:r>
              <w:t>nDNA</w:t>
            </w:r>
            <w:proofErr w:type="spellEnd"/>
            <w:r>
              <w:t>) i mitochondrialnego (</w:t>
            </w:r>
            <w:proofErr w:type="spellStart"/>
            <w:r>
              <w:t>mtDNA</w:t>
            </w:r>
            <w:proofErr w:type="spellEnd"/>
            <w:r>
              <w:t xml:space="preserve">). Wykorzystanie </w:t>
            </w:r>
            <w:proofErr w:type="spellStart"/>
            <w:r>
              <w:t>nDNA</w:t>
            </w:r>
            <w:proofErr w:type="spellEnd"/>
            <w:r>
              <w:t xml:space="preserve"> i </w:t>
            </w:r>
            <w:proofErr w:type="spellStart"/>
            <w:r>
              <w:t>mtDNA</w:t>
            </w:r>
            <w:proofErr w:type="spellEnd"/>
            <w:r>
              <w:t xml:space="preserve"> w badaniach. </w:t>
            </w:r>
          </w:p>
        </w:tc>
      </w:tr>
      <w:tr w:rsidR="00155C3B">
        <w:tc>
          <w:tcPr>
            <w:tcW w:w="3942" w:type="dxa"/>
            <w:shd w:val="clear" w:color="auto" w:fill="auto"/>
          </w:tcPr>
          <w:p w:rsidR="00155C3B" w:rsidRDefault="008D68EA">
            <w:r>
              <w:lastRenderedPageBreak/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155C3B" w:rsidRDefault="008D68EA">
            <w:pPr>
              <w:numPr>
                <w:ilvl w:val="0"/>
                <w:numId w:val="2"/>
              </w:numPr>
              <w:tabs>
                <w:tab w:val="left" w:pos="540"/>
                <w:tab w:val="left" w:pos="7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Brown T.A. – </w:t>
            </w:r>
            <w:r>
              <w:rPr>
                <w:i/>
                <w:sz w:val="22"/>
                <w:szCs w:val="22"/>
              </w:rPr>
              <w:t>Genomy</w:t>
            </w:r>
            <w:r>
              <w:rPr>
                <w:sz w:val="22"/>
                <w:szCs w:val="22"/>
              </w:rPr>
              <w:t>. Wydawnictwo Naukowe PWN, Warszawa, 2019.</w:t>
            </w:r>
          </w:p>
          <w:p w:rsidR="00155C3B" w:rsidRDefault="008D68EA">
            <w:pPr>
              <w:numPr>
                <w:ilvl w:val="0"/>
                <w:numId w:val="2"/>
              </w:numPr>
              <w:tabs>
                <w:tab w:val="left" w:pos="540"/>
                <w:tab w:val="left" w:pos="7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Charon K.M., Świtoński M.</w:t>
            </w:r>
            <w:r>
              <w:rPr>
                <w:i/>
                <w:sz w:val="22"/>
                <w:szCs w:val="22"/>
              </w:rPr>
              <w:t xml:space="preserve"> Genetyka i genomika zwierząt</w:t>
            </w:r>
            <w:r>
              <w:rPr>
                <w:sz w:val="22"/>
                <w:szCs w:val="22"/>
              </w:rPr>
              <w:t>. Wydawnictwo Naukowe PWN. 2022.</w:t>
            </w:r>
          </w:p>
          <w:p w:rsidR="00155C3B" w:rsidRDefault="008D68EA">
            <w:pPr>
              <w:numPr>
                <w:ilvl w:val="0"/>
                <w:numId w:val="2"/>
              </w:numPr>
              <w:tabs>
                <w:tab w:val="left" w:pos="540"/>
                <w:tab w:val="left" w:pos="7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Słomski R. (red). </w:t>
            </w:r>
            <w:r>
              <w:rPr>
                <w:i/>
                <w:sz w:val="22"/>
                <w:szCs w:val="22"/>
              </w:rPr>
              <w:t>Analiza DNA – Teoria i Praktyka.</w:t>
            </w:r>
            <w:r>
              <w:rPr>
                <w:sz w:val="22"/>
                <w:szCs w:val="22"/>
              </w:rPr>
              <w:t xml:space="preserve"> Wydawnictwo U.P. Poznań, 2014.</w:t>
            </w:r>
          </w:p>
        </w:tc>
      </w:tr>
      <w:tr w:rsidR="00155C3B">
        <w:tc>
          <w:tcPr>
            <w:tcW w:w="3942" w:type="dxa"/>
            <w:shd w:val="clear" w:color="auto" w:fill="auto"/>
          </w:tcPr>
          <w:p w:rsidR="00155C3B" w:rsidRDefault="008D68EA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155C3B" w:rsidRDefault="008D68EA">
            <w:r>
              <w:rPr>
                <w:sz w:val="22"/>
                <w:szCs w:val="22"/>
              </w:rPr>
              <w:t>Wykłady, dyskusja, ćwiczenia audytoryjne,</w:t>
            </w:r>
            <w:r>
              <w:rPr>
                <w:sz w:val="22"/>
                <w:szCs w:val="22"/>
              </w:rPr>
              <w:t xml:space="preserve"> praca studentów w grupach - praktyczne analizy DNA z zakresu biologii molekularnej.</w:t>
            </w:r>
          </w:p>
        </w:tc>
      </w:tr>
      <w:tr w:rsidR="00155C3B">
        <w:tc>
          <w:tcPr>
            <w:tcW w:w="3942" w:type="dxa"/>
            <w:shd w:val="clear" w:color="auto" w:fill="auto"/>
          </w:tcPr>
          <w:p w:rsidR="00155C3B" w:rsidRDefault="008D68EA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155C3B" w:rsidRDefault="008D68EA">
            <w:pPr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SPOSOBY WERYFIKACJI:</w:t>
            </w:r>
          </w:p>
          <w:p w:rsidR="00155C3B" w:rsidRDefault="008D68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W1 – sprawdzian pisemny w formie pytań otwartych (definicje do wyjaśni</w:t>
            </w:r>
            <w:r>
              <w:rPr>
                <w:sz w:val="22"/>
                <w:szCs w:val="22"/>
              </w:rPr>
              <w:t xml:space="preserve">enia, rozwiązywanie zadań problemowych), zaliczenie końcowe pisemne – test jednokrotnego wyboru. </w:t>
            </w:r>
          </w:p>
          <w:p w:rsidR="00155C3B" w:rsidRDefault="008D6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U1 – ocena zadania projektowego, ocena wystąpienia (ocena prezentacji lub ocena przeprowadzenia eksperymentu), ocena sprawdzianu i zaliczenia końcowego. </w:t>
            </w:r>
          </w:p>
          <w:p w:rsidR="00155C3B" w:rsidRDefault="008D68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K1 – udział w dyskusji, wspólne dążenie do weryfikacji postawionych tez poprzez analizę danych, dyskusję i sprawdziany pisemne.</w:t>
            </w:r>
          </w:p>
          <w:p w:rsidR="00155C3B" w:rsidRDefault="00155C3B">
            <w:pPr>
              <w:rPr>
                <w:color w:val="000000"/>
                <w:sz w:val="22"/>
                <w:szCs w:val="22"/>
              </w:rPr>
            </w:pPr>
          </w:p>
          <w:p w:rsidR="00155C3B" w:rsidRDefault="008D68E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 xml:space="preserve">FORMY DOKUMENTOWANIA OSIĄGNIĘTYCH EFEKTÓW UCZENIA SIĘ: </w:t>
            </w:r>
            <w:r>
              <w:rPr>
                <w:sz w:val="22"/>
                <w:szCs w:val="22"/>
              </w:rPr>
              <w:t xml:space="preserve">w formie: prace etapowe: zaliczenia cząstkowe/zaliczenie projektu i/lub </w:t>
            </w:r>
            <w:r>
              <w:rPr>
                <w:sz w:val="22"/>
                <w:szCs w:val="22"/>
              </w:rPr>
              <w:t>prezentacja oraz pracy końcowej: zaliczenia końcowego. Archiwizowanie w formie papierowej lub cyfrowej.</w:t>
            </w:r>
          </w:p>
          <w:p w:rsidR="00155C3B" w:rsidRDefault="00155C3B">
            <w:pPr>
              <w:rPr>
                <w:color w:val="000000"/>
                <w:sz w:val="22"/>
                <w:szCs w:val="22"/>
              </w:rPr>
            </w:pPr>
          </w:p>
          <w:p w:rsidR="00155C3B" w:rsidRDefault="008D68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Szczegółowe kryteria przy ocenie zaliczenia i prac kontrolnych</w:t>
            </w:r>
          </w:p>
          <w:p w:rsidR="00155C3B" w:rsidRDefault="008D68E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student wykazuje dostateczny (3,0) stopień wiedzy, umiejętności lub kompetencji, gdy uzy</w:t>
            </w:r>
            <w:r>
              <w:rPr>
                <w:color w:val="000000"/>
                <w:sz w:val="22"/>
                <w:szCs w:val="22"/>
              </w:rPr>
              <w:t xml:space="preserve">skuje od 51 do 60% sumy punktów określających maksymalny poziom wiedzy lub umiejętności z danego przedmiotu (odpowiednio, przy zaliczeniu cząstkowym – jego części), </w:t>
            </w:r>
          </w:p>
          <w:p w:rsidR="00155C3B" w:rsidRDefault="008D68E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student wykazuje dostateczny plus (3,5) stopień wiedzy, umiejętności lub kompetencji, gdy </w:t>
            </w:r>
            <w:r>
              <w:rPr>
                <w:color w:val="000000"/>
                <w:sz w:val="22"/>
                <w:szCs w:val="22"/>
              </w:rPr>
              <w:t xml:space="preserve">uzyskuje od 61 do 70% sumy punktów określających maksymalny poziom wiedzy lub umiejętności z danego przedmiotu (odpowiednio – jego części), </w:t>
            </w:r>
          </w:p>
          <w:p w:rsidR="00155C3B" w:rsidRDefault="008D68E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student wykazuje dobry stopień (4,0) wiedzy, umiejętności lub kompetencji, gdy uzyskuje od 71 do 80% sumy punktów o</w:t>
            </w:r>
            <w:r>
              <w:rPr>
                <w:color w:val="000000"/>
                <w:sz w:val="22"/>
                <w:szCs w:val="22"/>
              </w:rPr>
              <w:t xml:space="preserve">kreślających maksymalny poziom wiedzy lub umiejętności z danego przedmiotu (odpowiednio – jego części), </w:t>
            </w:r>
          </w:p>
          <w:p w:rsidR="00155C3B" w:rsidRDefault="008D68E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student wykazuje plus dobry stopień (4,5) wiedzy, umiejętności lub kompetencji, gdy uzyskuje od 81 do 90% sumy punktów określających maksymalny poziom </w:t>
            </w:r>
            <w:r>
              <w:rPr>
                <w:color w:val="000000"/>
                <w:sz w:val="22"/>
                <w:szCs w:val="22"/>
              </w:rPr>
              <w:t>wiedzy lub umiejętności z danego przedmiotu (odpowiednio – jego części),</w:t>
            </w:r>
          </w:p>
          <w:p w:rsidR="00155C3B" w:rsidRDefault="008D68E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student wykazuje bardzo dobry stopień (5,0) wiedzy, umiejętności lub kompetencji, gdy uzyskuje powyżej </w:t>
            </w:r>
            <w:r>
              <w:rPr>
                <w:color w:val="000000"/>
                <w:sz w:val="22"/>
                <w:szCs w:val="22"/>
              </w:rPr>
              <w:lastRenderedPageBreak/>
              <w:t>91% sumy punktów określających maksymalny poziom wiedzy lub umiejętności z daneg</w:t>
            </w:r>
            <w:r>
              <w:rPr>
                <w:color w:val="000000"/>
                <w:sz w:val="22"/>
                <w:szCs w:val="22"/>
              </w:rPr>
              <w:t>o przedmiotu (odpowiednio – jego części).</w:t>
            </w:r>
          </w:p>
        </w:tc>
      </w:tr>
      <w:tr w:rsidR="00155C3B">
        <w:tc>
          <w:tcPr>
            <w:tcW w:w="3942" w:type="dxa"/>
            <w:shd w:val="clear" w:color="auto" w:fill="auto"/>
          </w:tcPr>
          <w:p w:rsidR="00155C3B" w:rsidRDefault="008D68EA">
            <w:r>
              <w:lastRenderedPageBreak/>
              <w:t>Elementy i wagi mające wpływ na ocenę końcową</w:t>
            </w:r>
          </w:p>
          <w:p w:rsidR="00155C3B" w:rsidRDefault="00155C3B"/>
          <w:p w:rsidR="00155C3B" w:rsidRDefault="00155C3B"/>
        </w:tc>
        <w:tc>
          <w:tcPr>
            <w:tcW w:w="5344" w:type="dxa"/>
            <w:shd w:val="clear" w:color="auto" w:fill="auto"/>
          </w:tcPr>
          <w:p w:rsidR="00155C3B" w:rsidRDefault="008D68EA">
            <w:pPr>
              <w:jc w:val="both"/>
            </w:pPr>
            <w:r>
              <w:t>Na ocenę końcową ma wpływ średnia ocena z ćwiczeń (50%) i ocena z zaliczenia końcowego (50%). Warunki te są przedstawiane studentom i konsultowane z nimi na pierwszym wykładzie.</w:t>
            </w:r>
          </w:p>
          <w:p w:rsidR="00155C3B" w:rsidRDefault="008D68EA">
            <w:pPr>
              <w:jc w:val="both"/>
            </w:pPr>
            <w:r>
              <w:t>Student może uzyskać końcową ocenę pozytywną jedynie po uzyskaniu minimum ocen</w:t>
            </w:r>
            <w:r>
              <w:t>y 3.0 z części ćwiczeniowej i minimum oceny 3,0 z części wykładowej modułu, czyli z zaliczenia końcowego.</w:t>
            </w:r>
          </w:p>
          <w:p w:rsidR="00155C3B" w:rsidRDefault="008D68E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Warunki te są przedstawiane na pierwszych zajęciach z modułu.</w:t>
            </w:r>
          </w:p>
        </w:tc>
      </w:tr>
      <w:tr w:rsidR="00155C3B">
        <w:trPr>
          <w:trHeight w:val="2324"/>
        </w:trPr>
        <w:tc>
          <w:tcPr>
            <w:tcW w:w="3942" w:type="dxa"/>
            <w:shd w:val="clear" w:color="auto" w:fill="auto"/>
          </w:tcPr>
          <w:p w:rsidR="00155C3B" w:rsidRDefault="008D68EA">
            <w:pPr>
              <w:jc w:val="both"/>
            </w:pPr>
            <w:r>
              <w:t>Bilans punktów ECTS</w:t>
            </w:r>
          </w:p>
          <w:p w:rsidR="00155C3B" w:rsidRDefault="00155C3B">
            <w:pPr>
              <w:jc w:val="both"/>
            </w:pPr>
          </w:p>
          <w:p w:rsidR="00155C3B" w:rsidRDefault="00155C3B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155C3B" w:rsidRDefault="008D68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Formy zajęć: </w:t>
            </w:r>
          </w:p>
          <w:p w:rsidR="00155C3B" w:rsidRDefault="008D68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Kontaktowe</w:t>
            </w:r>
          </w:p>
          <w:p w:rsidR="00155C3B" w:rsidRDefault="008D68E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wykład (10 godz./0,4 ECTS), </w:t>
            </w:r>
          </w:p>
          <w:p w:rsidR="00155C3B" w:rsidRDefault="008D68E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ćwiczenia (20 godz./0,8 ECTS), </w:t>
            </w:r>
          </w:p>
          <w:p w:rsidR="00155C3B" w:rsidRDefault="008D68EA">
            <w:pPr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Łącznie – 30 godz./1,2 ECTS</w:t>
            </w:r>
          </w:p>
          <w:p w:rsidR="00155C3B" w:rsidRDefault="00155C3B">
            <w:pPr>
              <w:rPr>
                <w:color w:val="000000"/>
                <w:sz w:val="22"/>
                <w:szCs w:val="22"/>
              </w:rPr>
            </w:pPr>
          </w:p>
          <w:p w:rsidR="00155C3B" w:rsidRDefault="00155C3B">
            <w:pPr>
              <w:ind w:left="487"/>
              <w:rPr>
                <w:b/>
                <w:color w:val="000000"/>
                <w:sz w:val="22"/>
                <w:szCs w:val="22"/>
              </w:rPr>
            </w:pPr>
          </w:p>
          <w:p w:rsidR="00155C3B" w:rsidRDefault="008D68E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Niekontaktowe</w:t>
            </w:r>
            <w:proofErr w:type="spellEnd"/>
          </w:p>
          <w:p w:rsidR="00155C3B" w:rsidRDefault="008D68E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przygotowanie do zajęć (20 godz./0,8 ECTS),</w:t>
            </w:r>
          </w:p>
          <w:p w:rsidR="00155C3B" w:rsidRDefault="008D68E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studiowanie literatury (10 godz./0,4 ECTS),</w:t>
            </w:r>
          </w:p>
          <w:p w:rsidR="00155C3B" w:rsidRDefault="008D68E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przygotowanie do zaliczenia (15 godz./0,6 ECTS),</w:t>
            </w:r>
          </w:p>
          <w:p w:rsidR="00155C3B" w:rsidRDefault="008D68EA">
            <w:pPr>
              <w:jc w:val="both"/>
            </w:pPr>
            <w:r>
              <w:rPr>
                <w:sz w:val="22"/>
                <w:szCs w:val="22"/>
              </w:rPr>
              <w:t>Łącznie 45 godz./1,8 ECTS</w:t>
            </w:r>
          </w:p>
        </w:tc>
      </w:tr>
      <w:tr w:rsidR="00155C3B">
        <w:trPr>
          <w:trHeight w:val="718"/>
        </w:trPr>
        <w:tc>
          <w:tcPr>
            <w:tcW w:w="3942" w:type="dxa"/>
            <w:shd w:val="clear" w:color="auto" w:fill="auto"/>
          </w:tcPr>
          <w:p w:rsidR="00155C3B" w:rsidRDefault="008D68EA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155C3B" w:rsidRDefault="008D68EA">
            <w:pPr>
              <w:jc w:val="both"/>
            </w:pPr>
            <w:r>
              <w:rPr>
                <w:sz w:val="22"/>
                <w:szCs w:val="22"/>
              </w:rPr>
              <w:t xml:space="preserve">udział w wykładach – 10 godz.; w ćwiczeniach – 20 godz.; </w:t>
            </w:r>
          </w:p>
        </w:tc>
      </w:tr>
      <w:tr w:rsidR="008D68EA">
        <w:trPr>
          <w:trHeight w:val="718"/>
        </w:trPr>
        <w:tc>
          <w:tcPr>
            <w:tcW w:w="3942" w:type="dxa"/>
            <w:shd w:val="clear" w:color="auto" w:fill="auto"/>
          </w:tcPr>
          <w:p w:rsidR="008D68EA" w:rsidRDefault="008D68EA" w:rsidP="008D68EA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8D68EA" w:rsidRDefault="008D68EA" w:rsidP="008D68EA">
            <w:pPr>
              <w:jc w:val="both"/>
            </w:pPr>
            <w:r>
              <w:t>Kod efektu modułowego – kod efektu kierunkowego</w:t>
            </w:r>
          </w:p>
          <w:p w:rsidR="008D68EA" w:rsidRDefault="008D68EA" w:rsidP="008D68EA">
            <w:pPr>
              <w:jc w:val="both"/>
            </w:pPr>
            <w:r>
              <w:t>W1 – BC1 _W03</w:t>
            </w:r>
          </w:p>
          <w:p w:rsidR="008D68EA" w:rsidRDefault="008D68EA" w:rsidP="008D68EA">
            <w:pPr>
              <w:jc w:val="both"/>
            </w:pPr>
            <w:r>
              <w:rPr>
                <w:sz w:val="22"/>
                <w:szCs w:val="22"/>
              </w:rPr>
              <w:t xml:space="preserve">U1 – </w:t>
            </w:r>
            <w:r>
              <w:t>BC1 _U06</w:t>
            </w:r>
          </w:p>
          <w:p w:rsidR="008D68EA" w:rsidRDefault="008D68EA" w:rsidP="008D68EA">
            <w:pPr>
              <w:jc w:val="both"/>
              <w:rPr>
                <w:sz w:val="22"/>
                <w:szCs w:val="22"/>
              </w:rPr>
            </w:pPr>
            <w:r>
              <w:t>K1</w:t>
            </w:r>
            <w:r>
              <w:rPr>
                <w:sz w:val="22"/>
                <w:szCs w:val="22"/>
              </w:rPr>
              <w:t xml:space="preserve"> – BC1 _K03</w:t>
            </w:r>
          </w:p>
          <w:p w:rsidR="008D68EA" w:rsidRDefault="008D68EA" w:rsidP="008D68EA">
            <w:pPr>
              <w:jc w:val="both"/>
              <w:rPr>
                <w:sz w:val="22"/>
                <w:szCs w:val="22"/>
              </w:rPr>
            </w:pPr>
          </w:p>
          <w:p w:rsidR="008D68EA" w:rsidRDefault="008D68EA" w:rsidP="008D68EA">
            <w:pPr>
              <w:jc w:val="both"/>
            </w:pPr>
            <w:r>
              <w:t xml:space="preserve">W1 – InzBC_W02 </w:t>
            </w:r>
          </w:p>
          <w:p w:rsidR="008D68EA" w:rsidRDefault="008D68EA" w:rsidP="008D68EA">
            <w:pPr>
              <w:jc w:val="both"/>
            </w:pPr>
            <w:r>
              <w:t>U1 – InzBC_U02</w:t>
            </w:r>
          </w:p>
        </w:tc>
      </w:tr>
    </w:tbl>
    <w:p w:rsidR="00155C3B" w:rsidRDefault="00155C3B"/>
    <w:p w:rsidR="00155C3B" w:rsidRDefault="00155C3B"/>
    <w:p w:rsidR="00155C3B" w:rsidRDefault="00155C3B"/>
    <w:p w:rsidR="00155C3B" w:rsidRDefault="00155C3B"/>
    <w:p w:rsidR="00155C3B" w:rsidRDefault="00155C3B">
      <w:pPr>
        <w:rPr>
          <w:i/>
        </w:rPr>
      </w:pPr>
    </w:p>
    <w:p w:rsidR="00155C3B" w:rsidRDefault="00155C3B"/>
    <w:p w:rsidR="00155C3B" w:rsidRDefault="00155C3B">
      <w:bookmarkStart w:id="0" w:name="_GoBack"/>
      <w:bookmarkEnd w:id="0"/>
    </w:p>
    <w:sectPr w:rsidR="00155C3B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D68EA">
      <w:r>
        <w:separator/>
      </w:r>
    </w:p>
  </w:endnote>
  <w:endnote w:type="continuationSeparator" w:id="0">
    <w:p w:rsidR="00000000" w:rsidRDefault="008D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C3B" w:rsidRDefault="008D68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:rsidR="00155C3B" w:rsidRDefault="00155C3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D68EA">
      <w:r>
        <w:separator/>
      </w:r>
    </w:p>
  </w:footnote>
  <w:footnote w:type="continuationSeparator" w:id="0">
    <w:p w:rsidR="00000000" w:rsidRDefault="008D6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C3B" w:rsidRDefault="008D68EA">
    <w:pPr>
      <w:tabs>
        <w:tab w:val="left" w:pos="5205"/>
      </w:tabs>
      <w:spacing w:after="120"/>
    </w:pPr>
    <w:r>
      <w:tab/>
    </w:r>
  </w:p>
  <w:p w:rsidR="00155C3B" w:rsidRDefault="00155C3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87367"/>
    <w:multiLevelType w:val="multilevel"/>
    <w:tmpl w:val="F6BE8C3E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B262E39"/>
    <w:multiLevelType w:val="multilevel"/>
    <w:tmpl w:val="DF56A54A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B287C"/>
    <w:multiLevelType w:val="multilevel"/>
    <w:tmpl w:val="8DAC6CF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5177C4D"/>
    <w:multiLevelType w:val="multilevel"/>
    <w:tmpl w:val="E4DA20A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3B"/>
    <w:rsid w:val="00155C3B"/>
    <w:rsid w:val="008D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FD276"/>
  <w15:docId w15:val="{CB5FAEB6-DC1E-408D-B4BF-1B7122BF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rsid w:val="004A10AD"/>
  </w:style>
  <w:style w:type="character" w:styleId="Uwydatnienie">
    <w:name w:val="Emphasis"/>
    <w:qFormat/>
    <w:rsid w:val="0096156B"/>
    <w:rPr>
      <w:i/>
      <w:iCs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SEQGLIZyxMWX6c1mbhSkIgTUeQ==">CgMxLjA4AHIhMVM0cTJ3ei0zZ1ctT1RlZ3dPVUZFUEpSaE5KM3VSV2Vq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KOJiPPZ </cp:lastModifiedBy>
  <cp:revision>2</cp:revision>
  <dcterms:created xsi:type="dcterms:W3CDTF">2024-11-20T16:24:00Z</dcterms:created>
  <dcterms:modified xsi:type="dcterms:W3CDTF">2024-11-27T13:27:00Z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