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molekularna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biology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(1,2/1,8)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Angelika Tkaczyk-Wlizło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Instytut Biologicznych Podstaw Produkcji Zwierzęcej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Podstawowe metody i techniki z zakresu biologii molekularnej. Kierunki badań oraz praktyczne wykorzystanie osiągnięć z zakresu biologii molekularnej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Wykazuje umiejętność krytycznej analizy i selekcji informacji dotyczących osiągnięć biologii molekularnej.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znaczenia technik biologii molekularnej w różnych dziedzinach badań teoretycznych i aplikacyjnych.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 _W03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 _U06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BC1 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InzBC_W02 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InzBC_U02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zaliczony moduł „Genetyka”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Zasady pracy w laboratorium biologii molekularnej. Rodzaje i sposób pobierania materiału biologicznego do badań z zakresu biologii molekularnej. Podstawy wybranych metod i technik biologii molekularnej. Markery molekularne wykorzystywane w różnych kierunkach badań. Specyfika budowy i funkcji genomu jądrowego (nDNA) i mitochondrialnego (mtDNA). Wykorzystanie nDNA i mtDNA w badaniach.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Brown T.A. –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Genomy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PWN, Warszawa,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Charon K.M., Świtoński M.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Genetyka i genomika zwierząt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PWN. 2022.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Słomski R. (red).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Analiza DNA – Teoria i Praktyka.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Wydawnictwo U.P. Poznań, 2014.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Wykłady, dyskusja, ćwiczenia audytoryjne, praca studentów w grupach - praktyczne analizy DNA z zakresu biologii molekularnej.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sprawdzian pisemny w formie pytań otwartych (definicje do wyjaśnienia, rozwiązywanie zadań problemowych), zaliczenie końcowe pisemne – test jednokrotnego wyboru.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udział w dyskusji, wspólne dążenie do weryfikacji postawionych tez poprzez analizę danych, dyskusję i sprawdziany pisemne.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 formie: prace etapowe: zaliczenia cząstkowe/zaliczenie projektu i/lub prezentacja oraz pracy końcowej: zaliczenia końcowego. Archiwizowanie w formie papierowej lub cyfrowej.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 ocenę końcową ma wpływ średnia ocena z ćwiczeń (50%) i ocena z zaliczenia końcowego (50%). Warunki te są przedstawiane studentom i konsultowane z nimi na pierwszym wykładzie.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końcową ocenę pozytywną jedynie po uzyskaniu minimum oceny 3.0 z części ćwiczeniowej i minimum oceny 3,0 z części wykładowej modułu, czyli z zaliczenia końcowego.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(20 godz./0,8 ECTS), </w:t>
            </w:r>
          </w:p>
          <w:p w:rsidR="00000000" w:rsidDel="00000000" w:rsidP="00000000" w:rsidRDefault="00000000" w:rsidRPr="00000000" w14:paraId="0000005E">
            <w:pPr>
              <w:ind w:left="1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30 godz./1,2 ECTS</w:t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(20 godz./0,8 ECTS),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(10 godz./0,4 ECTS),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zaliczenia (15 godz./0,6 ECTS),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45 godz./1,8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wykładach – 10 godz.; w ćwiczeniach – 20 godz.;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7" w:hanging="397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rsid w:val="004A10AD"/>
  </w:style>
  <w:style w:type="character" w:styleId="Uwydatnienie">
    <w:name w:val="Emphasis"/>
    <w:qFormat w:val="1"/>
    <w:rsid w:val="0096156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9aI1eON5udASx0MfXcUI0vjRA==">CgMxLjA4AHIhMWl3YnMxRzktb1ZVRERsbDhTVVlNMnhsc2JYRUlXX0xM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2024-11-20T16:24:00Z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