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w ochronie roślin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Safety in Plant Protection - brakuje nazwy po polsku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(0,88/1,12)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Elżbieta Mielniczuk, prof.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Ochrony Roślin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Zwrócenie uwagi studentów na znaczenie </w:t>
              <w:br w:type="textWrapping"/>
              <w:t xml:space="preserve">szkodników i patogenów roślin, w tym mikroorganizmów toksynotwórczych obniżających jakość produktów pochodzenia roślinnego i zwierzęcego, a także zapoznanie studentów z możliwościami bezpiecznego ograniczania agrofagów w uprawie roślin.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Posiada ogólną wiedzę na temat groźnych szkodników i patogenów roślin uprawnych, w tym szkodliwości grzybów toksynotwórczych dla organizmów stałocieplnych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Zna zasady bezpiecznego stosowania metod ochrony roślin przed agrofagami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1. Potrafi rozpoznawać podstawowe choroby i szkodniki  roślin uprawnych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2. Posiada umiejętność doboru właściwych metod bezpiecznego ograniczania patogenów i szkodników w uprawach rolniczych oraz wskazać sposoby ograniczania mykotoksyn w paszach i żywności 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znaczenia społecznej i etycznej odpowiedzialności za produkcję zdrowych roślin, surowca i płodów roślinnych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BC1_W09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W2 - BC1-W 12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BC1 _U07, BC1 _U08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BC1 _U08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BC1 _K05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InzBC_W02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U2 - InzBC_U03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Zoologia i ekologia, Mikrobiologia ogólna, Botanika i fizjologia roślin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Znaczenie i zadania ochrony roślin w produkcji roślinnej. Taksonomia i biologia patogenów i szkodników obniżających jakość i wielkość plonu roślin z uwzględnieniem mikroorganizmów toksynotwórczych. Typy objawów chorobowych i oznak etiologicznych oraz uszkodzeń powodowanych przez agrofagi. Normy dopuszczalnego poziomu zanieczyszczenia mykotoksynami płodów rolnych, pasz i żywności. Znaczenie metod agrotechnicznych i fizycznych w ochronie roślin. Wykorzystanie hodowli odpornościowej w ochronie roślin. Mikroorganizmy owadobójcze w bezpiecznej ochronie roślin przed owadami szkodliwymi. Mikroorganizmy wykorzystywane w produkcji biopreparatów. Związki pochodzenia roślinnego i zwierzęcego o działaniu fungistatycznym i bakteriostatycznym. Zasady bezpiecznego stosowania metod chemicznych w ochronie roślin.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Kryczyński S., Weber Z. Fitopatologia, t. I i II. PWRiL, Poznań, 2010; Marcinkowska J. Oznaczanie rodzajów ważnych organizmów fitopatologicznych (Fungi, Oomycota, Plasmodiophorida). Wyd. SGGW, Warszawa, 2010; Marcinkowska J. Oznaczanie rodzajów grzybów sensu lato ważnych w fitopatologii. Wyd. PWRiL, Warszawa, 2012; Pięta D. Wybrane zagadnienia z fitopatologii, wyd. AR Lublin; 2004.Chełkowski J. Mikotoksyny, grzyby toksynotwórcze i mykotoksykozy. www.cropnet.pl/mycotoxin, 2009; Boczek J. Nauka o szkodnikach roślin uprawnych. Wydawnictwo SGGW, 2001; Hołubowicz-Kliza G., Mrówczyński M., Atlas szkodników i owadów pożytecznych w rolnictwie. IUNG-PIB Puławy, 2006.; Wilkaniec B., Entomologia. PWRiL Poznań, 2009.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ćwiczenia laboratoryjne, praca z materiałem zielnikowym, mikroskopowanie, konsultacje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sprawdzian pisemny/test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sprawdzian pisemny, sprawdzian praktyczny 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sprawdzian pisemny 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ocena udziału w dyskusji, sprawdzian pisemny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dokumentowania: dziennik prowadzącego, prace pisemne studentów, karty pracy studentów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końcowego zaliczenia pisemnego 50% + 50% ocena z ćwiczeń.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= ocena ze sprawdzianu praktycznego 40% + ocena ze sprawdzianów pisemnych 60%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zajęć: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wykład (10 godz./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0,4 ECTS)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ćwiczenia (10 godz./0,4 ECTS) 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konsultacje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 godz./0,08 ECTS)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22 godz./0,88 pkt. ECTS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ćwiczeń (10 godz./0,4) 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sprawdzianów – (8 godz./0,32) przygotowanie do zaliczenia końcowego </w:t>
              <w:br w:type="textWrapping"/>
              <w:t xml:space="preserve">i studiowanie literatury (10 godz./0,4) 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Łącznie 28 godz./1,12 pkt.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10 godz.; w ćwiczeniach – 10 godz.; konsultacjach – 2 godz.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AD5A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/kTcamTFnIJAcIDQkk96NBwMbA==">CgMxLjAyCGguZ2pkZ3hzOAByITFkSWIyMjUwYTNBLUdaOWVIT1VLTDhuTUxqY0FvMTNQRw==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2024-11-15T11:39:00Z</dcterms:created>
  <dc:creator>1</dc:creator>
</cp:coreProperties>
</file>