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Botanika i fizjologia roślin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Botany and plant physiology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 (0,72/1,28)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Magdalena Pogorzelec, profesor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Katedra Hydrobiologii i Ochrony Ekosystemów/ Zakład Hydrobotaniki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Poznanie morfologiczno-anatomicznych aspektów budowy i funkcjonowania organizmu roślinnego. Nabycie wiedzy na temat zależności między strukturą a funkcją komórek, tkanek i organów roślinnych.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W1. Student zna i rozumie zagadnienia z zakresu botaniki w powiązaniu z podstawowymi informacjami z zakresu fizjologii roślin, a w szczególności strukturalno-funkcjonalną organizację komórki i tkanek roślinnych oraz  mechanizmy adaptacji roślin do różnych środowisk.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W2. Student zna gatunki roślin użytkowych </w:t>
              <w:br w:type="textWrapping"/>
              <w:t xml:space="preserve">i specyfikę ich budowy morfologicznej </w:t>
              <w:br w:type="textWrapping"/>
              <w:t xml:space="preserve">i anatomicznej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U1. Student potrafi korzystać z podstawowego sprzętu laboratoryjnego i samodzielnie wykonywać preparaty biologiczne, przeprowadzić eksperymenty oraz poprawnie wnioskować i interpretować uzyskane wyniki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K1. Student jest gotów do pracy samodzielnej i w zespole oraz do zastosowania różnych metod badawczych opracowywania danych i ich interpretacji, a także potrafi zaprezentować </w:t>
              <w:br w:type="textWrapping"/>
              <w:t xml:space="preserve">i uzasadnić swoje poglądy.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 _W08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 BC1 _U04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 BC1 _K03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Podstawy budowy i funkcjonowania komórki roślinnej. Struktura i funkcje tkanek roślinnych. Budowa morfologiczno-anatomiczna organów roślinnych - korzeni, łodyg, liści, kwiatów i owoców roślin nasiennych oraz ich modyfikacje. Biologia kwitnienia i zapylania roślin. Powstawanie owoców </w:t>
              <w:br w:type="textWrapping"/>
              <w:t xml:space="preserve">i nasion, sposoby ich dyspersji. Przegląd systematyczny roślin nagozalążkowych </w:t>
              <w:br w:type="textWrapping"/>
              <w:t xml:space="preserve">i okrytozalążkowych ze szczególnym uwzględnieniem taksonów użytkowych.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Szweykowska A, Szweykowski J. 2007. Botanika. Morfologia. Tom I., Botanika. Systematyka. Tom II. Wyd. Nauk. PWN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Jasnowska J., Jasnowski M., Radomski J., Friedrich S., Kowalski W. 2008. Botanika. Wydawnictwo Brasika.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Kopcewicz J. 2012. Podstawy biologii roślin. Wyd. Nauk. PWN.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Lewak S., Kopcewicz J., Jaworski K. 2019. Fizjologia roślin. Wprowadzenie. Wyd. Nauk. PWN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z wykorzystaniem prezentacji multimedialnych oraz filmów poglądowych dotyczący treści programowych, ćwiczenia </w:t>
              <w:br w:type="textWrapping"/>
              <w:t xml:space="preserve">z wykorzystaniem mikroskopów świetlnych, żywego materiału roślinnego oraz innych materiałów dostosowanych tematycznie do treści programowych, dyskusja inicjowana przez prowadzącego zajęcia.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W1: ocena sprawdzianu pisemnego w formie pytań otwartych (definicje do wyjaśnienia) lub testu jednokrotnego wyboru, ocena zaliczenia końcowego – test jednokrotnego wyboru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W2: ocena sprawdzianu pisemnego w formie pytań otwartych (definicje do wyjaśnienia) lub testu jednokrotnego wyboru, ocena zaliczenia końcowego – test jednokrotnego wyboru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U1: sprawdzian pisemny w formie pytań otwartych lub testu jednokrotnego wyboru, ocena aktywności na zajęciach, ocena zeszytu ćwiczeń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K1: ocena aktywności na zajęciach, ocena zaliczenia końcowego – test jednokrotnego wyboru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dziennik prowadzącego zajęcia, 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zeszyty ćwiczeń prowadzone przez studentów, 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 cząstkowe – sprawdzian pisemny oraz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 końcowe  – test jednokrotnego wyboru.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Archiwizowanie w formie papierowej lub cyfrowej.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30 % średnia arytmetyczna z ocen uzyskanych na ćwiczeniach (oceny sprawdzianu oraz oceny aktywności – pracy grupowej/indywidualnej, ocena prowadzenia zeszytu ćwiczeń) + 70% ocena z końcowego zaliczenia pisemnego.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(5 godz./0,2 ECTS),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(10 godz./0,4 ECTS), 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 (3 godz./0,12 ECTS), 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18 godz./0,72 ECTS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zajęć (10 godz./0,4 ECTS),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 (7 godz./0,28 ECTS),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zaliczenia końcowego </w:t>
              <w:br w:type="textWrapping"/>
              <w:t xml:space="preserve">(15 godz./0,6 ECTS),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32 godz./ 1,28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5 godz.; w ćwiczeniach – 10 godz.; w konsultacjach – 3 godz.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5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A224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zcUisxJ5moptTAPaTnj4axzPQ==">CgMxLjAyCGguZ2pkZ3hzOAByITFXajEydVBQZE5ZMUNWWVZJWkdILW5xSC1uN1dTWlBQcw==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2024-11-14T16:15:00Z</dcterms:created>
  <dc:creator>1</dc:creator>
</cp:coreProperties>
</file>