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                                            </w:t>
      </w:r>
    </w:p>
    <w:p w:rsidR="00000000" w:rsidDel="00000000" w:rsidP="00000000" w:rsidRDefault="00000000" w:rsidRPr="00000000" w14:paraId="00000002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BHP i ergonomia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j. 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obowiązkowy/</w:t>
            </w:r>
            <w:r w:rsidDel="00000000" w:rsidR="00000000" w:rsidRPr="00000000">
              <w:rPr>
                <w:strike w:val="1"/>
                <w:color w:val="000000"/>
                <w:rtl w:val="0"/>
              </w:rPr>
              <w:t xml:space="preserve">fakultatywny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pierwszego stopnia/</w:t>
            </w:r>
            <w:r w:rsidDel="00000000" w:rsidR="00000000" w:rsidRPr="00000000">
              <w:rPr>
                <w:strike w:val="1"/>
                <w:color w:val="000000"/>
                <w:rtl w:val="0"/>
              </w:rPr>
              <w:t xml:space="preserve">drugiego stopnia</w:t>
            </w:r>
            <w:r w:rsidDel="00000000" w:rsidR="00000000" w:rsidRPr="00000000">
              <w:rPr>
                <w:color w:val="000000"/>
                <w:rtl w:val="0"/>
              </w:rPr>
              <w:t xml:space="preserve">/</w:t>
            </w:r>
            <w:r w:rsidDel="00000000" w:rsidR="00000000" w:rsidRPr="00000000">
              <w:rPr>
                <w:strike w:val="1"/>
                <w:color w:val="000000"/>
                <w:rtl w:val="0"/>
              </w:rPr>
              <w:t xml:space="preserve">jednolite magisterskie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>
                <w:color w:val="000000"/>
              </w:rPr>
            </w:pPr>
            <w:r w:rsidDel="00000000" w:rsidR="00000000" w:rsidRPr="00000000">
              <w:rPr>
                <w:strike w:val="1"/>
                <w:color w:val="000000"/>
                <w:rtl w:val="0"/>
              </w:rPr>
              <w:t xml:space="preserve">stacjonarne</w:t>
            </w:r>
            <w:r w:rsidDel="00000000" w:rsidR="00000000" w:rsidRPr="00000000">
              <w:rPr>
                <w:color w:val="000000"/>
                <w:rtl w:val="0"/>
              </w:rPr>
              <w:t xml:space="preserve">/niestacjonarne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(0,36/0,64)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Prof. dr hab. Anna Chmielowiec-Korzeniowska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Katedra Higieny Zwierząt i Zagrożeń Środowiska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Podanie słuchaczom podstawowych informacji z zakresu: ergonomii i podstaw bezpieczeństwa i higieny pracy, w tym uregulowań prawnych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2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Wiedza: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 Zna przepisy bezpieczeństwa i higieny pracy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 Zna zagrożenia występujące w środowisku pracy oraz metody ich eliminowania lub ograniczania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…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Potrafi dyskutować na tematy związane z bezpieczeństwem pracy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…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Jest świadomy przebiegu procesów produkcyjnych pod względem spełnienia wymagań bhp, ergonomii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Kod efektu modułowego – kod efektu kierunkowego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W1 – BC_W04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W2 – BC_W11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U1 – BC_U02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K1 – BC_K06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Odniesienie modułowych efektów uczenia się do efektów inżynierskich (jeżeli dotyczy)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Kod efektu modułowego – kod efektu inżynierskiego</w:t>
            </w:r>
          </w:p>
          <w:p w:rsidR="00000000" w:rsidDel="00000000" w:rsidP="00000000" w:rsidRDefault="00000000" w:rsidRPr="00000000" w14:paraId="00000040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W1 – InzBC_W05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brak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4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Głównym celem modułu jest przekazanie studentom podstawowej wiedzy z zakresu ergonomii, jako nauce interdyscyplinarnej poruszającej zagadnienia obciążenia psychicznego i fizycznego pracownika oraz wytycznych dot. ergonomicznego projektowania struktury przestrzennej stanowisk pracy; zasad kształtowania bezpieczeństwa i higieny pracy, w tym wymagań dla budynków i pomieszczeń pracy i ich wyposażenia, maszyn i innych urządzeń technicznych oraz profilaktyki osób pracujących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numPr>
                <w:ilvl w:val="0"/>
                <w:numId w:val="5"/>
              </w:numPr>
              <w:ind w:left="311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Sieńczyło-Chlabicz J. (red.) Prawo własności intelektualnej, Lexis Nexis Warszawa 2009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5"/>
              </w:numPr>
              <w:ind w:left="311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Nowińska E., Promińska U., du Vall M. Prawo własności przemysłowej, Warszawa 2011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5"/>
              </w:numPr>
              <w:ind w:left="311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Wykowska M. Ergonomia jako nauka stosowana. Wyd. AGH Kraków 2007. Olszewski J. Podstawy ergonomii i fizjologii pracy. Wyd. Akademia Ekonomiczna , Poznań 1997.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1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Rączkowski B. BHP w praktyce. Wyd. ODDK, 2014.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1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Dołęgowski B., Janczała 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 pracownik powinien wiedzieć o bhp. Podstawowe wiadomości o bezpieczeństwie pracy, zagrożeniach zawodowych, pierwszej pomocy i ochronie przeciwpożarowej Wyd. ODDK, 2010.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dyskusja, wykład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W1 i W2 – zaliczenie końcowe</w:t>
            </w:r>
          </w:p>
          <w:p w:rsidR="00000000" w:rsidDel="00000000" w:rsidP="00000000" w:rsidRDefault="00000000" w:rsidRPr="00000000" w14:paraId="0000005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U1 i K1 – aktywny udział na zajęciach</w:t>
            </w:r>
          </w:p>
          <w:p w:rsidR="00000000" w:rsidDel="00000000" w:rsidP="00000000" w:rsidRDefault="00000000" w:rsidRPr="00000000" w14:paraId="0000005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i w:val="1"/>
                <w:color w:val="000000"/>
              </w:rPr>
            </w:pP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FORMY DOKUMENTOWANIA OSIĄGNIĘTYCH EFEKTÓW UCZENIA SIĘ: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prace końcowe archiwizowanie w formie papierowej; dziennik prowadzącego, </w:t>
            </w:r>
          </w:p>
          <w:p w:rsidR="00000000" w:rsidDel="00000000" w:rsidP="00000000" w:rsidRDefault="00000000" w:rsidRPr="00000000" w14:paraId="0000005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Szczegółowe kryteria przy ocenie zaliczenia i prac kontrolnych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Elementy i wagi mające wpływ na ocenę końcową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Ocena końcowa = ocena z zaliczenia pisemnego</w:t>
            </w:r>
          </w:p>
          <w:p w:rsidR="00000000" w:rsidDel="00000000" w:rsidP="00000000" w:rsidRDefault="00000000" w:rsidRPr="00000000" w14:paraId="0000005C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Warunki te są przedstawiane na pierwszych zajęciach z modułu.</w:t>
            </w:r>
          </w:p>
        </w:tc>
      </w:tr>
      <w:tr>
        <w:trPr>
          <w:cantSplit w:val="0"/>
          <w:trHeight w:val="23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Bilans punktów ECTS</w:t>
            </w:r>
          </w:p>
          <w:p w:rsidR="00000000" w:rsidDel="00000000" w:rsidP="00000000" w:rsidRDefault="00000000" w:rsidRPr="00000000" w14:paraId="0000005E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both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Formy zajęć: </w:t>
            </w:r>
          </w:p>
          <w:p w:rsidR="00000000" w:rsidDel="00000000" w:rsidP="00000000" w:rsidRDefault="00000000" w:rsidRPr="00000000" w14:paraId="00000061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Kontaktowe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wykład (6 godz./0,24 ECTS),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konsultacje (3 godz./0,12 ECTS),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Łącznie – 9 godz./0,36 ECTS</w:t>
            </w:r>
          </w:p>
          <w:p w:rsidR="00000000" w:rsidDel="00000000" w:rsidP="00000000" w:rsidRDefault="00000000" w:rsidRPr="00000000" w14:paraId="00000065">
            <w:pPr>
              <w:ind w:left="487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Niekontaktowe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studiowanie literatury (6 godz./0,24 ECTS),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przygotowanie do zaliczenia końcowego (10 godz./0,4),</w:t>
            </w:r>
          </w:p>
          <w:p w:rsidR="00000000" w:rsidDel="00000000" w:rsidP="00000000" w:rsidRDefault="00000000" w:rsidRPr="00000000" w14:paraId="00000069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Łącznie 16 godz./0,64 ECTS</w:t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udział w wykładach – 6 godz.; w ćwiczeniach – 0 godz.; konsultacjach – 3 godz.</w:t>
            </w:r>
          </w:p>
        </w:tc>
      </w:tr>
    </w:tbl>
    <w:p w:rsidR="00000000" w:rsidDel="00000000" w:rsidP="00000000" w:rsidRDefault="00000000" w:rsidRPr="00000000" w14:paraId="0000006C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Załącznik  nr 4 do Uchwały nr 3/2023-2024</w:t>
    </w:r>
  </w:p>
  <w:p w:rsidR="00000000" w:rsidDel="00000000" w:rsidP="00000000" w:rsidRDefault="00000000" w:rsidRPr="00000000" w14:paraId="00000074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                                                            Senatu UP w Lublinie z dnia 27 października 2023 r.</w:t>
    </w:r>
  </w:p>
  <w:p w:rsidR="00000000" w:rsidDel="00000000" w:rsidP="00000000" w:rsidRDefault="00000000" w:rsidRPr="00000000" w14:paraId="00000075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 xml:space="preserve"> </w:t>
      <w:tab/>
    </w:r>
  </w:p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 w:val="1"/>
    <w:rsid w:val="00BF1306"/>
    <w:pPr>
      <w:ind w:left="720"/>
      <w:contextualSpacing w:val="1"/>
    </w:pPr>
  </w:style>
  <w:style w:type="paragraph" w:styleId="Default" w:customStyle="1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490E6F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490E6F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E7F63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9E7F63"/>
    <w:rPr>
      <w:rFonts w:ascii="Times New Roman" w:cs="Times New Roman" w:eastAsia="Times New Roman" w:hAnsi="Times New Roman"/>
      <w:b w:val="1"/>
      <w:bCs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E7F63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E7F63"/>
    <w:rPr>
      <w:rFonts w:ascii="Tahoma" w:cs="Tahoma" w:eastAsia="Times New Roman" w:hAnsi="Tahoma"/>
      <w:sz w:val="16"/>
      <w:szCs w:val="16"/>
      <w:lang w:eastAsia="pl-PL"/>
    </w:rPr>
  </w:style>
  <w:style w:type="character" w:styleId="Pogrubienie">
    <w:name w:val="Strong"/>
    <w:uiPriority w:val="22"/>
    <w:qFormat w:val="1"/>
    <w:rsid w:val="00F7685C"/>
    <w:rPr>
      <w:b w:val="1"/>
      <w:bCs w:val="1"/>
    </w:rPr>
  </w:style>
  <w:style w:type="character" w:styleId="autor" w:customStyle="1">
    <w:name w:val="autor"/>
    <w:rsid w:val="00F7685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PpEsOrVxu0qFUg1Lm31ipGtz3Q==">CgMxLjA4AHIhMWRDdndxRFZxTnBLaU01a3FYdTdzcldDS1liRWgwY1lY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2024-11-13T10:07:00Z</dcterms:created>
  <dc:creator>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