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0B2E7" w14:textId="77777777" w:rsidR="00B400C0" w:rsidRPr="000A37AA" w:rsidRDefault="00B400C0" w:rsidP="00023A99">
      <w:pPr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071024" w:rsidRPr="00B2058E" w14:paraId="3A10E91C" w14:textId="77777777" w:rsidTr="00A3615A">
        <w:trPr>
          <w:trHeight w:val="469"/>
        </w:trPr>
        <w:tc>
          <w:tcPr>
            <w:tcW w:w="3942" w:type="dxa"/>
            <w:shd w:val="clear" w:color="auto" w:fill="auto"/>
            <w:vAlign w:val="center"/>
          </w:tcPr>
          <w:p w14:paraId="5D433F86" w14:textId="227F9638" w:rsidR="00644231" w:rsidRPr="00B2058E" w:rsidRDefault="00644231" w:rsidP="00644231">
            <w:r w:rsidRPr="00B2058E">
              <w:t xml:space="preserve">Nazwa kierunku studiów </w:t>
            </w:r>
          </w:p>
        </w:tc>
        <w:tc>
          <w:tcPr>
            <w:tcW w:w="6543" w:type="dxa"/>
            <w:shd w:val="clear" w:color="auto" w:fill="auto"/>
          </w:tcPr>
          <w:p w14:paraId="77E8D3C3" w14:textId="77777777" w:rsidR="00644231" w:rsidRPr="00B2058E" w:rsidRDefault="00644231" w:rsidP="00644231">
            <w:r w:rsidRPr="00B2058E">
              <w:t xml:space="preserve">Pielęgnacja zwierząt i </w:t>
            </w:r>
            <w:proofErr w:type="spellStart"/>
            <w:r w:rsidRPr="00B2058E">
              <w:t>animaloterpia</w:t>
            </w:r>
            <w:proofErr w:type="spellEnd"/>
          </w:p>
        </w:tc>
      </w:tr>
      <w:tr w:rsidR="00071024" w:rsidRPr="00B2058E" w14:paraId="63AD1C59" w14:textId="77777777" w:rsidTr="00F9565A">
        <w:tc>
          <w:tcPr>
            <w:tcW w:w="3942" w:type="dxa"/>
            <w:shd w:val="clear" w:color="auto" w:fill="auto"/>
            <w:vAlign w:val="center"/>
          </w:tcPr>
          <w:p w14:paraId="35CBA805" w14:textId="77777777" w:rsidR="00644231" w:rsidRPr="00B2058E" w:rsidRDefault="00644231" w:rsidP="00644231">
            <w:r w:rsidRPr="00B2058E">
              <w:t>Nazwa modułu, także nazwa w języku angielskim</w:t>
            </w:r>
          </w:p>
        </w:tc>
        <w:tc>
          <w:tcPr>
            <w:tcW w:w="6543" w:type="dxa"/>
            <w:shd w:val="clear" w:color="auto" w:fill="auto"/>
          </w:tcPr>
          <w:p w14:paraId="0AD32F88" w14:textId="77777777" w:rsidR="00644231" w:rsidRDefault="00570511" w:rsidP="00644231">
            <w:r>
              <w:t>Hipoterapia</w:t>
            </w:r>
            <w:r w:rsidR="00644231" w:rsidRPr="00B2058E">
              <w:t xml:space="preserve"> </w:t>
            </w:r>
            <w:r w:rsidR="00FF6F8F">
              <w:t>I</w:t>
            </w:r>
          </w:p>
          <w:p w14:paraId="60F9A147" w14:textId="62D32D80" w:rsidR="00570511" w:rsidRPr="00A3615A" w:rsidRDefault="00570511" w:rsidP="00644231">
            <w:proofErr w:type="spellStart"/>
            <w:r w:rsidRPr="00A3615A">
              <w:t>Hippotherapy</w:t>
            </w:r>
            <w:proofErr w:type="spellEnd"/>
            <w:r w:rsidRPr="00A3615A">
              <w:t xml:space="preserve"> I</w:t>
            </w:r>
          </w:p>
        </w:tc>
      </w:tr>
      <w:tr w:rsidR="00071024" w:rsidRPr="00B2058E" w14:paraId="6407AC02" w14:textId="77777777" w:rsidTr="00F9565A">
        <w:tc>
          <w:tcPr>
            <w:tcW w:w="3942" w:type="dxa"/>
            <w:shd w:val="clear" w:color="auto" w:fill="auto"/>
            <w:vAlign w:val="center"/>
          </w:tcPr>
          <w:p w14:paraId="03257055" w14:textId="77777777" w:rsidR="00644231" w:rsidRPr="00B2058E" w:rsidRDefault="00644231" w:rsidP="00644231">
            <w:r w:rsidRPr="00B2058E">
              <w:t xml:space="preserve">Język wykładowy </w:t>
            </w:r>
          </w:p>
        </w:tc>
        <w:tc>
          <w:tcPr>
            <w:tcW w:w="6543" w:type="dxa"/>
            <w:shd w:val="clear" w:color="auto" w:fill="auto"/>
          </w:tcPr>
          <w:p w14:paraId="4E5312DE" w14:textId="77777777" w:rsidR="00644231" w:rsidRPr="00B2058E" w:rsidRDefault="00644231" w:rsidP="00644231">
            <w:r w:rsidRPr="00B2058E">
              <w:t>polski</w:t>
            </w:r>
          </w:p>
        </w:tc>
      </w:tr>
      <w:tr w:rsidR="00071024" w:rsidRPr="00B2058E" w14:paraId="5A6FE401" w14:textId="77777777" w:rsidTr="00F9565A">
        <w:tc>
          <w:tcPr>
            <w:tcW w:w="3942" w:type="dxa"/>
            <w:shd w:val="clear" w:color="auto" w:fill="auto"/>
            <w:vAlign w:val="center"/>
          </w:tcPr>
          <w:p w14:paraId="155EC602" w14:textId="77777777" w:rsidR="00644231" w:rsidRPr="00B2058E" w:rsidRDefault="00644231" w:rsidP="00644231">
            <w:pPr>
              <w:autoSpaceDE w:val="0"/>
              <w:autoSpaceDN w:val="0"/>
              <w:adjustRightInd w:val="0"/>
            </w:pPr>
            <w:r w:rsidRPr="00B2058E">
              <w:t xml:space="preserve">Rodzaj modułu </w:t>
            </w:r>
          </w:p>
        </w:tc>
        <w:tc>
          <w:tcPr>
            <w:tcW w:w="6543" w:type="dxa"/>
            <w:shd w:val="clear" w:color="auto" w:fill="auto"/>
          </w:tcPr>
          <w:p w14:paraId="6FDF092D" w14:textId="77777777" w:rsidR="00644231" w:rsidRPr="00B2058E" w:rsidRDefault="00644231" w:rsidP="00644231">
            <w:r w:rsidRPr="00B2058E">
              <w:t>obowiązkowy</w:t>
            </w:r>
          </w:p>
        </w:tc>
      </w:tr>
      <w:tr w:rsidR="00071024" w:rsidRPr="00B2058E" w14:paraId="166763C6" w14:textId="77777777" w:rsidTr="00F9565A">
        <w:tc>
          <w:tcPr>
            <w:tcW w:w="3942" w:type="dxa"/>
            <w:shd w:val="clear" w:color="auto" w:fill="auto"/>
            <w:vAlign w:val="center"/>
          </w:tcPr>
          <w:p w14:paraId="118AE07E" w14:textId="77777777" w:rsidR="00644231" w:rsidRPr="00B2058E" w:rsidRDefault="00644231" w:rsidP="00644231">
            <w:r w:rsidRPr="00B2058E">
              <w:t>Poziom studiów</w:t>
            </w:r>
          </w:p>
        </w:tc>
        <w:tc>
          <w:tcPr>
            <w:tcW w:w="6543" w:type="dxa"/>
            <w:shd w:val="clear" w:color="auto" w:fill="auto"/>
          </w:tcPr>
          <w:p w14:paraId="17D30B5B" w14:textId="77777777" w:rsidR="00644231" w:rsidRPr="00B2058E" w:rsidRDefault="00934DAA" w:rsidP="00644231">
            <w:r w:rsidRPr="00B2058E">
              <w:t>pierwszego stopnia</w:t>
            </w:r>
          </w:p>
        </w:tc>
      </w:tr>
      <w:tr w:rsidR="00071024" w:rsidRPr="00B2058E" w14:paraId="5F9375CD" w14:textId="77777777" w:rsidTr="00F9565A">
        <w:tc>
          <w:tcPr>
            <w:tcW w:w="3942" w:type="dxa"/>
            <w:shd w:val="clear" w:color="auto" w:fill="auto"/>
            <w:vAlign w:val="center"/>
          </w:tcPr>
          <w:p w14:paraId="176B61DF" w14:textId="77777777" w:rsidR="00644231" w:rsidRPr="00B2058E" w:rsidRDefault="00644231" w:rsidP="00644231">
            <w:r w:rsidRPr="00B2058E">
              <w:t>Forma studiów</w:t>
            </w:r>
          </w:p>
        </w:tc>
        <w:tc>
          <w:tcPr>
            <w:tcW w:w="6543" w:type="dxa"/>
            <w:shd w:val="clear" w:color="auto" w:fill="auto"/>
          </w:tcPr>
          <w:p w14:paraId="0D9671AB" w14:textId="77777777" w:rsidR="00644231" w:rsidRPr="00B2058E" w:rsidRDefault="00644231" w:rsidP="00644231">
            <w:r w:rsidRPr="00B2058E">
              <w:t>stacjonarne</w:t>
            </w:r>
          </w:p>
        </w:tc>
      </w:tr>
      <w:tr w:rsidR="00071024" w:rsidRPr="00B2058E" w14:paraId="46FD4FF9" w14:textId="77777777" w:rsidTr="00F9565A">
        <w:tc>
          <w:tcPr>
            <w:tcW w:w="3942" w:type="dxa"/>
            <w:shd w:val="clear" w:color="auto" w:fill="auto"/>
            <w:vAlign w:val="center"/>
          </w:tcPr>
          <w:p w14:paraId="371B1AA8" w14:textId="77777777" w:rsidR="00644231" w:rsidRPr="00B2058E" w:rsidRDefault="00644231" w:rsidP="00644231">
            <w:r w:rsidRPr="00B2058E">
              <w:t>Rok studiów dla kierunku</w:t>
            </w:r>
          </w:p>
        </w:tc>
        <w:tc>
          <w:tcPr>
            <w:tcW w:w="6543" w:type="dxa"/>
            <w:shd w:val="clear" w:color="auto" w:fill="auto"/>
          </w:tcPr>
          <w:p w14:paraId="25DA6910" w14:textId="77777777" w:rsidR="00644231" w:rsidRPr="00B2058E" w:rsidRDefault="00644231" w:rsidP="00644231">
            <w:r w:rsidRPr="00B2058E">
              <w:t>III</w:t>
            </w:r>
          </w:p>
        </w:tc>
      </w:tr>
      <w:tr w:rsidR="00071024" w:rsidRPr="00B2058E" w14:paraId="6B2132F9" w14:textId="77777777" w:rsidTr="00F9565A">
        <w:tc>
          <w:tcPr>
            <w:tcW w:w="3942" w:type="dxa"/>
            <w:shd w:val="clear" w:color="auto" w:fill="auto"/>
            <w:vAlign w:val="center"/>
          </w:tcPr>
          <w:p w14:paraId="7EF1D008" w14:textId="77777777" w:rsidR="00644231" w:rsidRPr="00B2058E" w:rsidRDefault="00644231" w:rsidP="00644231">
            <w:r w:rsidRPr="00B2058E">
              <w:t>Semestr dla kierunku</w:t>
            </w:r>
          </w:p>
        </w:tc>
        <w:tc>
          <w:tcPr>
            <w:tcW w:w="6543" w:type="dxa"/>
            <w:shd w:val="clear" w:color="auto" w:fill="auto"/>
          </w:tcPr>
          <w:p w14:paraId="1DC6B52D" w14:textId="4A78F75F" w:rsidR="00644231" w:rsidRPr="00B2058E" w:rsidRDefault="00B2058E" w:rsidP="00644231">
            <w:r w:rsidRPr="00B2058E">
              <w:t>5</w:t>
            </w:r>
          </w:p>
        </w:tc>
      </w:tr>
      <w:tr w:rsidR="00071024" w:rsidRPr="00B2058E" w14:paraId="2C09B234" w14:textId="77777777" w:rsidTr="00F9565A">
        <w:tc>
          <w:tcPr>
            <w:tcW w:w="3942" w:type="dxa"/>
            <w:shd w:val="clear" w:color="auto" w:fill="auto"/>
            <w:vAlign w:val="center"/>
          </w:tcPr>
          <w:p w14:paraId="73AD5A10" w14:textId="77777777" w:rsidR="00644231" w:rsidRPr="00B2058E" w:rsidRDefault="00644231" w:rsidP="00644231">
            <w:pPr>
              <w:autoSpaceDE w:val="0"/>
              <w:autoSpaceDN w:val="0"/>
              <w:adjustRightInd w:val="0"/>
            </w:pPr>
            <w:r w:rsidRPr="00B2058E">
              <w:t>Liczba punktów ECTS z podziałem na kontaktowe/</w:t>
            </w:r>
            <w:proofErr w:type="spellStart"/>
            <w:r w:rsidRPr="00B2058E"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</w:tcPr>
          <w:p w14:paraId="5C650F52" w14:textId="1E9DA54F" w:rsidR="00644231" w:rsidRPr="00B2058E" w:rsidRDefault="00FF6F8F" w:rsidP="00644231">
            <w:r>
              <w:t>4</w:t>
            </w:r>
            <w:r w:rsidR="00644231" w:rsidRPr="00B2058E">
              <w:t xml:space="preserve"> (</w:t>
            </w:r>
            <w:r>
              <w:t>1,96/2,04</w:t>
            </w:r>
            <w:r w:rsidR="00644231" w:rsidRPr="00B2058E">
              <w:t>)</w:t>
            </w:r>
          </w:p>
        </w:tc>
      </w:tr>
      <w:tr w:rsidR="00071024" w:rsidRPr="00B2058E" w14:paraId="20713F5D" w14:textId="77777777" w:rsidTr="00F9565A">
        <w:tc>
          <w:tcPr>
            <w:tcW w:w="3942" w:type="dxa"/>
            <w:shd w:val="clear" w:color="auto" w:fill="auto"/>
            <w:vAlign w:val="center"/>
          </w:tcPr>
          <w:p w14:paraId="0B064092" w14:textId="77777777" w:rsidR="00644231" w:rsidRPr="00B2058E" w:rsidRDefault="00644231" w:rsidP="00644231">
            <w:pPr>
              <w:autoSpaceDE w:val="0"/>
              <w:autoSpaceDN w:val="0"/>
              <w:adjustRightInd w:val="0"/>
            </w:pPr>
            <w:r w:rsidRPr="00B2058E"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</w:tcPr>
          <w:p w14:paraId="09E7E60D" w14:textId="12645C14" w:rsidR="00644231" w:rsidRPr="00B2058E" w:rsidRDefault="00FF6F8F" w:rsidP="00644231">
            <w:r>
              <w:t xml:space="preserve">Dr </w:t>
            </w:r>
            <w:r w:rsidR="00570511">
              <w:t>hab. Michał Pluta prof. UP</w:t>
            </w:r>
          </w:p>
        </w:tc>
      </w:tr>
      <w:tr w:rsidR="00071024" w:rsidRPr="00B2058E" w14:paraId="6C3DCB51" w14:textId="77777777" w:rsidTr="000A37AA">
        <w:tc>
          <w:tcPr>
            <w:tcW w:w="3942" w:type="dxa"/>
            <w:shd w:val="clear" w:color="auto" w:fill="auto"/>
            <w:vAlign w:val="center"/>
          </w:tcPr>
          <w:p w14:paraId="3398A6EE" w14:textId="77777777" w:rsidR="00644231" w:rsidRPr="00B2058E" w:rsidRDefault="00644231" w:rsidP="00644231">
            <w:r w:rsidRPr="00B2058E">
              <w:t>Jednostka oferująca moduł</w:t>
            </w:r>
          </w:p>
          <w:p w14:paraId="0248D1A1" w14:textId="77777777" w:rsidR="00644231" w:rsidRPr="00B2058E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3E9EC6CF" w14:textId="33B451FA" w:rsidR="00644231" w:rsidRPr="00B2058E" w:rsidRDefault="00570511" w:rsidP="00644231">
            <w:r>
              <w:t>Katedra Hodowli i Użytkowania Koni</w:t>
            </w:r>
          </w:p>
        </w:tc>
      </w:tr>
      <w:tr w:rsidR="00071024" w:rsidRPr="00B2058E" w14:paraId="2B256268" w14:textId="77777777" w:rsidTr="000A37AA">
        <w:tc>
          <w:tcPr>
            <w:tcW w:w="3942" w:type="dxa"/>
            <w:shd w:val="clear" w:color="auto" w:fill="auto"/>
            <w:vAlign w:val="center"/>
          </w:tcPr>
          <w:p w14:paraId="19ADC449" w14:textId="77777777" w:rsidR="00644231" w:rsidRPr="00B2058E" w:rsidRDefault="00644231" w:rsidP="00644231">
            <w:r w:rsidRPr="00B2058E">
              <w:t>Cel modułu</w:t>
            </w:r>
          </w:p>
          <w:p w14:paraId="3A4FE0B0" w14:textId="77777777" w:rsidR="00644231" w:rsidRPr="00B2058E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256B944F" w14:textId="7ED4418A" w:rsidR="00644231" w:rsidRPr="00570511" w:rsidRDefault="00570511" w:rsidP="00644231">
            <w:pPr>
              <w:autoSpaceDE w:val="0"/>
              <w:autoSpaceDN w:val="0"/>
              <w:adjustRightInd w:val="0"/>
            </w:pPr>
            <w:r w:rsidRPr="00570511">
              <w:t>Zapoznanie studentów z istotą i zasadami bezpiecznego prowadzenia zajęć hipoterapii</w:t>
            </w:r>
            <w:r w:rsidR="00C778AC" w:rsidRPr="00570511">
              <w:t>.</w:t>
            </w:r>
          </w:p>
        </w:tc>
      </w:tr>
      <w:tr w:rsidR="00071024" w:rsidRPr="00B2058E" w14:paraId="588E813A" w14:textId="77777777" w:rsidTr="000A37AA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543D031A" w14:textId="77777777" w:rsidR="00644231" w:rsidRPr="00B2058E" w:rsidRDefault="00644231" w:rsidP="00644231">
            <w:pPr>
              <w:jc w:val="both"/>
            </w:pPr>
            <w:r w:rsidRPr="00B2058E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3ACD5AF" w14:textId="77777777" w:rsidR="00644231" w:rsidRPr="00B2058E" w:rsidRDefault="00644231" w:rsidP="00644231">
            <w:r w:rsidRPr="00B2058E">
              <w:rPr>
                <w:b/>
                <w:bCs/>
              </w:rPr>
              <w:t>Wiedza</w:t>
            </w:r>
            <w:r w:rsidRPr="00B2058E">
              <w:t xml:space="preserve">: </w:t>
            </w:r>
          </w:p>
        </w:tc>
      </w:tr>
      <w:tr w:rsidR="00071024" w:rsidRPr="00B2058E" w14:paraId="7B3FE457" w14:textId="77777777" w:rsidTr="000A37AA">
        <w:trPr>
          <w:trHeight w:val="236"/>
        </w:trPr>
        <w:tc>
          <w:tcPr>
            <w:tcW w:w="3942" w:type="dxa"/>
            <w:vMerge/>
            <w:shd w:val="clear" w:color="auto" w:fill="auto"/>
            <w:vAlign w:val="center"/>
          </w:tcPr>
          <w:p w14:paraId="6E006210" w14:textId="77777777" w:rsidR="00644231" w:rsidRPr="00B2058E" w:rsidRDefault="00644231" w:rsidP="00644231">
            <w:pPr>
              <w:jc w:val="both"/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FBEF168" w14:textId="0F77EA6C" w:rsidR="00644231" w:rsidRPr="00B2058E" w:rsidRDefault="00644231" w:rsidP="00644231">
            <w:r w:rsidRPr="00B2058E">
              <w:t>W1.</w:t>
            </w:r>
            <w:r w:rsidR="009618E8">
              <w:t xml:space="preserve">Posiadając wiedzę na temat metod rehabilitacyjnych i schorzeń im przyporządkowanych, potrafi scharakteryzować i wybrać odpowiedniego konia do hipoterapii. </w:t>
            </w:r>
            <w:r w:rsidRPr="00B2058E">
              <w:t xml:space="preserve">Ma wiedzę na temat behawioru i psychologii </w:t>
            </w:r>
            <w:r w:rsidR="00570511">
              <w:t>koni</w:t>
            </w:r>
          </w:p>
        </w:tc>
      </w:tr>
      <w:tr w:rsidR="00071024" w:rsidRPr="00B2058E" w14:paraId="3A46A0C0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5D27DB55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D16444A" w14:textId="2A8FB983" w:rsidR="00644231" w:rsidRPr="00B2058E" w:rsidRDefault="00644231" w:rsidP="00644231">
            <w:pPr>
              <w:shd w:val="clear" w:color="auto" w:fill="FFFFFF"/>
            </w:pPr>
            <w:r w:rsidRPr="00B2058E">
              <w:t xml:space="preserve">W2. </w:t>
            </w:r>
            <w:r w:rsidR="009618E8">
              <w:t xml:space="preserve">Potrafi objaśnić od czego zależy zaplanowanie zajęć, opisać dobór ćwiczeń. </w:t>
            </w:r>
            <w:r w:rsidRPr="00B2058E">
              <w:t xml:space="preserve">Ma wiedzę na temat predyspozycji </w:t>
            </w:r>
            <w:r w:rsidR="00570511">
              <w:t>różnych ras koni</w:t>
            </w:r>
            <w:r w:rsidRPr="00B2058E">
              <w:t xml:space="preserve"> wykorzystywanych w </w:t>
            </w:r>
            <w:r w:rsidR="00570511">
              <w:t xml:space="preserve">formach hipoterapii oraz ma wiedzę na temat </w:t>
            </w:r>
            <w:r w:rsidRPr="00B2058E">
              <w:t>przygotowania zwierząt do zajęć</w:t>
            </w:r>
            <w:r w:rsidR="00FB320E">
              <w:t>.</w:t>
            </w:r>
          </w:p>
        </w:tc>
      </w:tr>
      <w:tr w:rsidR="00071024" w:rsidRPr="00B2058E" w14:paraId="6BED6077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291C5BC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D5B8AEC" w14:textId="3A58CDDE" w:rsidR="00644231" w:rsidRPr="00B2058E" w:rsidRDefault="00644231" w:rsidP="00644231">
            <w:r w:rsidRPr="00B2058E">
              <w:t xml:space="preserve">W3. Ma wiedzę </w:t>
            </w:r>
            <w:r w:rsidR="00570511">
              <w:t xml:space="preserve">i potrafi ją przekazać </w:t>
            </w:r>
            <w:r w:rsidRPr="00B2058E">
              <w:t xml:space="preserve">na temat możliwości </w:t>
            </w:r>
            <w:r w:rsidR="00570511">
              <w:t>pracy z</w:t>
            </w:r>
            <w:r w:rsidRPr="00B2058E">
              <w:t xml:space="preserve"> </w:t>
            </w:r>
            <w:r w:rsidR="00570511">
              <w:t>różnymi rodzajami niepełnosprawności pacjentów</w:t>
            </w:r>
            <w:r w:rsidR="00907589">
              <w:t xml:space="preserve"> przyjmowanych na hipoterapię</w:t>
            </w:r>
            <w:r w:rsidR="00B2058E">
              <w:t>.</w:t>
            </w:r>
          </w:p>
        </w:tc>
      </w:tr>
      <w:tr w:rsidR="00071024" w:rsidRPr="00B2058E" w14:paraId="35A9EFE3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C9AA241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234F562E" w14:textId="77777777" w:rsidR="00644231" w:rsidRPr="00B2058E" w:rsidRDefault="00644231" w:rsidP="00644231">
            <w:r w:rsidRPr="00B2058E">
              <w:rPr>
                <w:b/>
                <w:bCs/>
              </w:rPr>
              <w:t>Umiejętności</w:t>
            </w:r>
            <w:r w:rsidRPr="00B2058E">
              <w:t>:</w:t>
            </w:r>
          </w:p>
        </w:tc>
      </w:tr>
      <w:tr w:rsidR="00071024" w:rsidRPr="00B2058E" w14:paraId="46A36016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5364B4C0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977090F" w14:textId="37433152" w:rsidR="00644231" w:rsidRPr="00B2058E" w:rsidRDefault="00644231" w:rsidP="00644231">
            <w:r w:rsidRPr="00B2058E">
              <w:t xml:space="preserve">U1. </w:t>
            </w:r>
            <w:r w:rsidR="00ED7F2C">
              <w:t xml:space="preserve">Dokonuje oceny i wyboru konia, sposobu asekuracji, sprzętu podstawowego i specjalnego w celu zaspokojenia potrzeb pacjenta. </w:t>
            </w:r>
            <w:r w:rsidRPr="00B2058E">
              <w:t xml:space="preserve">Potrafi </w:t>
            </w:r>
            <w:r w:rsidR="00907589">
              <w:t>wybrać, ocenić oraz przeprowadzić wstępny trening koni</w:t>
            </w:r>
            <w:r w:rsidRPr="00B2058E">
              <w:t xml:space="preserve"> wykorzyst</w:t>
            </w:r>
            <w:r w:rsidR="00907589">
              <w:t>ywanych</w:t>
            </w:r>
            <w:r w:rsidRPr="00B2058E">
              <w:t xml:space="preserve"> w </w:t>
            </w:r>
            <w:r w:rsidR="00907589">
              <w:t>hipoterapii. Zna i potrafi zinterpretować sygnały wysyłane przez konie, które mogą świadczyć o stanie psychofizycznym tych zwierząt.</w:t>
            </w:r>
          </w:p>
        </w:tc>
      </w:tr>
      <w:tr w:rsidR="00071024" w:rsidRPr="00B2058E" w14:paraId="572D67E9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4AA0B74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0A86245B" w14:textId="73226CC8" w:rsidR="00644231" w:rsidRPr="00B2058E" w:rsidRDefault="00644231" w:rsidP="00644231">
            <w:r w:rsidRPr="00B2058E">
              <w:t xml:space="preserve">U2. Potrafi </w:t>
            </w:r>
            <w:r w:rsidR="00907589">
              <w:t xml:space="preserve">odczytać sygnały wysyłane przez konie, jak również potrafi, za pomocą sygnałów werbalnych i niewerbalnych skomunikować się z nim. </w:t>
            </w:r>
          </w:p>
        </w:tc>
      </w:tr>
      <w:tr w:rsidR="007068F2" w:rsidRPr="00B2058E" w14:paraId="4CC7612E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3F83FF9" w14:textId="77777777" w:rsidR="007068F2" w:rsidRPr="00B2058E" w:rsidRDefault="007068F2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5BADD44" w14:textId="091B2DF0" w:rsidR="007068F2" w:rsidRPr="00B2058E" w:rsidRDefault="007068F2" w:rsidP="00644231">
            <w:r w:rsidRPr="00B2058E">
              <w:t xml:space="preserve">U3. </w:t>
            </w:r>
            <w:r w:rsidR="00907589">
              <w:t>Potrafi p</w:t>
            </w:r>
            <w:r w:rsidR="00FB320E">
              <w:t>rzeprowadzić trening oraz pracę podstawową z koniem do hipoterapii.</w:t>
            </w:r>
          </w:p>
        </w:tc>
      </w:tr>
      <w:tr w:rsidR="00071024" w:rsidRPr="00B2058E" w14:paraId="47287A38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7E7F5A2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8C70C1D" w14:textId="77777777" w:rsidR="00644231" w:rsidRPr="00F25CD7" w:rsidRDefault="00644231" w:rsidP="00644231">
            <w:pPr>
              <w:rPr>
                <w:b/>
                <w:bCs/>
              </w:rPr>
            </w:pPr>
            <w:r w:rsidRPr="00F25CD7">
              <w:rPr>
                <w:b/>
                <w:bCs/>
              </w:rPr>
              <w:t>Kompetencje społeczne:</w:t>
            </w:r>
          </w:p>
        </w:tc>
      </w:tr>
      <w:tr w:rsidR="00071024" w:rsidRPr="00B2058E" w14:paraId="4B22BCEE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6E58D55" w14:textId="77777777" w:rsidR="00644231" w:rsidRPr="00B2058E" w:rsidRDefault="00644231" w:rsidP="00644231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F6BF1A9" w14:textId="37BAE73D" w:rsidR="00644231" w:rsidRPr="00B2058E" w:rsidRDefault="00644231" w:rsidP="00644231">
            <w:r w:rsidRPr="00B2058E">
              <w:t>K1.</w:t>
            </w:r>
            <w:r w:rsidRPr="00B2058E">
              <w:rPr>
                <w:spacing w:val="6"/>
              </w:rPr>
              <w:t xml:space="preserve"> Ma świadomość skutków działalności </w:t>
            </w:r>
            <w:proofErr w:type="spellStart"/>
            <w:r w:rsidR="00FB320E">
              <w:rPr>
                <w:spacing w:val="6"/>
              </w:rPr>
              <w:t>hipoterapeuty</w:t>
            </w:r>
            <w:proofErr w:type="spellEnd"/>
            <w:r w:rsidR="00FB320E">
              <w:rPr>
                <w:spacing w:val="6"/>
              </w:rPr>
              <w:t xml:space="preserve"> -</w:t>
            </w:r>
            <w:r w:rsidRPr="00B2058E">
              <w:rPr>
                <w:spacing w:val="6"/>
              </w:rPr>
              <w:t xml:space="preserve"> w tym oddziaływania na </w:t>
            </w:r>
            <w:r w:rsidR="00FB320E">
              <w:rPr>
                <w:spacing w:val="6"/>
              </w:rPr>
              <w:t xml:space="preserve">środowisko towarzyszące zajęciom – pacjenta, jego rodziny i opiekunów, osób współpracujących oraz pomagających. Jest świadomy </w:t>
            </w:r>
            <w:r w:rsidR="00B2058E">
              <w:rPr>
                <w:spacing w:val="6"/>
              </w:rPr>
              <w:t>konieczności stałego uzupełniania wiedzy przy współpracy ze specjalistami z</w:t>
            </w:r>
            <w:r w:rsidR="00FB320E">
              <w:rPr>
                <w:spacing w:val="6"/>
              </w:rPr>
              <w:t xml:space="preserve"> różnych </w:t>
            </w:r>
            <w:r w:rsidR="00B2058E">
              <w:rPr>
                <w:spacing w:val="6"/>
              </w:rPr>
              <w:t>dziedzin</w:t>
            </w:r>
            <w:r w:rsidR="00FB320E">
              <w:rPr>
                <w:spacing w:val="6"/>
              </w:rPr>
              <w:t xml:space="preserve"> medycznych, rehabilitacyjnych</w:t>
            </w:r>
            <w:r w:rsidR="00B2058E">
              <w:rPr>
                <w:spacing w:val="6"/>
              </w:rPr>
              <w:t>.</w:t>
            </w:r>
          </w:p>
        </w:tc>
      </w:tr>
      <w:tr w:rsidR="00306DAA" w:rsidRPr="00B2058E" w14:paraId="25BAECAB" w14:textId="77777777" w:rsidTr="00306DAA">
        <w:trPr>
          <w:trHeight w:val="416"/>
        </w:trPr>
        <w:tc>
          <w:tcPr>
            <w:tcW w:w="3942" w:type="dxa"/>
            <w:shd w:val="clear" w:color="auto" w:fill="auto"/>
            <w:vAlign w:val="center"/>
          </w:tcPr>
          <w:p w14:paraId="2059BB2C" w14:textId="77777777" w:rsidR="00306DAA" w:rsidRPr="00B2058E" w:rsidRDefault="00306DAA" w:rsidP="004945B6">
            <w:pPr>
              <w:jc w:val="both"/>
            </w:pPr>
            <w:r w:rsidRPr="00B2058E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2D6E57C2" w14:textId="2B86AADE" w:rsidR="00306DAA" w:rsidRPr="00B2058E" w:rsidRDefault="00306DAA" w:rsidP="004945B6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W1;W2;W3 - </w:t>
            </w:r>
            <w:r w:rsidRPr="00B2058E">
              <w:rPr>
                <w:spacing w:val="6"/>
              </w:rPr>
              <w:t>PZA_W06</w:t>
            </w:r>
          </w:p>
          <w:p w14:paraId="7D297FF8" w14:textId="293EC9CE" w:rsidR="00306DAA" w:rsidRPr="00B2058E" w:rsidRDefault="00306DAA" w:rsidP="004945B6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U1;U2;U3 - </w:t>
            </w:r>
            <w:r w:rsidRPr="00B2058E">
              <w:rPr>
                <w:spacing w:val="6"/>
              </w:rPr>
              <w:t>PZA_U03</w:t>
            </w:r>
          </w:p>
          <w:p w14:paraId="3C1F4CC6" w14:textId="783C2C83" w:rsidR="00306DAA" w:rsidRPr="00B2058E" w:rsidRDefault="00306DAA" w:rsidP="004945B6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U3 - </w:t>
            </w:r>
            <w:r w:rsidRPr="00B2058E">
              <w:rPr>
                <w:spacing w:val="6"/>
              </w:rPr>
              <w:t>PZA_U06</w:t>
            </w:r>
          </w:p>
          <w:p w14:paraId="17D10F30" w14:textId="222D78BF" w:rsidR="00306DAA" w:rsidRPr="00B2058E" w:rsidRDefault="00306DAA" w:rsidP="004945B6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K1 - </w:t>
            </w:r>
            <w:r w:rsidRPr="00B2058E">
              <w:rPr>
                <w:spacing w:val="6"/>
              </w:rPr>
              <w:t>PZA_K01</w:t>
            </w:r>
          </w:p>
          <w:p w14:paraId="4A407450" w14:textId="2A98A9CF" w:rsidR="00306DAA" w:rsidRPr="00B2058E" w:rsidRDefault="00306DAA" w:rsidP="004945B6">
            <w:pPr>
              <w:jc w:val="both"/>
            </w:pPr>
            <w:r>
              <w:rPr>
                <w:spacing w:val="6"/>
              </w:rPr>
              <w:lastRenderedPageBreak/>
              <w:t xml:space="preserve">K1 - </w:t>
            </w:r>
            <w:r w:rsidRPr="00B2058E">
              <w:rPr>
                <w:spacing w:val="6"/>
              </w:rPr>
              <w:t>PZA_K02</w:t>
            </w:r>
          </w:p>
        </w:tc>
      </w:tr>
      <w:tr w:rsidR="00306DAA" w:rsidRPr="00B2058E" w14:paraId="0FD438A4" w14:textId="77777777" w:rsidTr="004945B6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0F161A2A" w14:textId="6CC285EE" w:rsidR="00306DAA" w:rsidRPr="00B2058E" w:rsidRDefault="00306DAA" w:rsidP="00306DAA">
            <w:r>
              <w:lastRenderedPageBreak/>
              <w:t>Odniesienie modułowych efektów uczenia się do efektów inżynierskich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DF68004" w14:textId="77777777" w:rsidR="00306DAA" w:rsidRDefault="00306DAA" w:rsidP="004945B6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InzP_W02</w:t>
            </w:r>
          </w:p>
          <w:p w14:paraId="549A1396" w14:textId="77777777" w:rsidR="00306DAA" w:rsidRDefault="00306DAA" w:rsidP="004945B6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InzP_U05</w:t>
            </w:r>
          </w:p>
          <w:p w14:paraId="35EE3E2E" w14:textId="77777777" w:rsidR="00306DAA" w:rsidRPr="00B2058E" w:rsidRDefault="00306DAA" w:rsidP="004945B6">
            <w:pPr>
              <w:jc w:val="both"/>
              <w:rPr>
                <w:spacing w:val="6"/>
              </w:rPr>
            </w:pPr>
            <w:r w:rsidRPr="00954DB4">
              <w:rPr>
                <w:spacing w:val="-4"/>
              </w:rPr>
              <w:t>InzP_U0</w:t>
            </w:r>
            <w:r>
              <w:rPr>
                <w:spacing w:val="-4"/>
              </w:rPr>
              <w:t>6</w:t>
            </w:r>
          </w:p>
        </w:tc>
      </w:tr>
      <w:tr w:rsidR="00071024" w:rsidRPr="00B2058E" w14:paraId="35890613" w14:textId="77777777" w:rsidTr="000A37AA">
        <w:tc>
          <w:tcPr>
            <w:tcW w:w="3942" w:type="dxa"/>
            <w:shd w:val="clear" w:color="auto" w:fill="auto"/>
            <w:vAlign w:val="center"/>
          </w:tcPr>
          <w:p w14:paraId="0EB6DCD1" w14:textId="77777777" w:rsidR="00644231" w:rsidRPr="00B2058E" w:rsidRDefault="00644231" w:rsidP="00644231">
            <w:bookmarkStart w:id="0" w:name="_GoBack"/>
            <w:bookmarkEnd w:id="0"/>
            <w:r w:rsidRPr="00B2058E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841F60D" w14:textId="41946EE6" w:rsidR="00644231" w:rsidRPr="00B2058E" w:rsidRDefault="00FB320E" w:rsidP="00644231">
            <w:pPr>
              <w:jc w:val="both"/>
            </w:pPr>
            <w:r>
              <w:t>Podstawowe umiejętności w obsłudze koni.</w:t>
            </w:r>
          </w:p>
        </w:tc>
      </w:tr>
      <w:tr w:rsidR="00071024" w:rsidRPr="00B2058E" w14:paraId="6BF3B4C0" w14:textId="77777777" w:rsidTr="000A37AA">
        <w:tc>
          <w:tcPr>
            <w:tcW w:w="3942" w:type="dxa"/>
            <w:shd w:val="clear" w:color="auto" w:fill="auto"/>
            <w:vAlign w:val="center"/>
          </w:tcPr>
          <w:p w14:paraId="64BAC6F7" w14:textId="77777777" w:rsidR="00644231" w:rsidRPr="00B2058E" w:rsidRDefault="00644231" w:rsidP="00644231">
            <w:r w:rsidRPr="00B2058E">
              <w:t xml:space="preserve">Treści programowe modułu </w:t>
            </w:r>
          </w:p>
          <w:p w14:paraId="6C6FD72E" w14:textId="77777777" w:rsidR="00644231" w:rsidRPr="00B2058E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037649A3" w14:textId="6902F739" w:rsidR="00644231" w:rsidRPr="00570511" w:rsidRDefault="00570511" w:rsidP="00570511">
            <w:r w:rsidRPr="00570511">
              <w:t>Miejsce hipoterapii w rehabilitacji. Elementy metod rehabilitacyjnych mające zastosowanie w hipoterapii. Medyczne podstawy hipoterapii i zakres objętych nią schorzeń. Wskazania i przeciwwskazania do hipoterapii. Formy hipoterapii. Wymagania w stosunku do osób prowadzących hipoterapię. Ośrodek hipoterapeutyczny. System zdobywania kwalifikacji hipoterapeutycznych. Zespół terapeutyczny i praca w zespole. Niemiecka i amerykańska szkoła hipoterapii. Dobór konia do hipoterapii: biomechanika ruchu a budowa anatomiczna, wiek, płeć, psychika. Dobór konia do hipoterapii – zależnie od potrzeb pacjenta. Sprzęt podstawowy i pomocniczy – jego stosowanie i wykorzystanie w zajęciach. Trening i przygotowanie konia do zajęć, oswajanie z dużą ilością osób, ze sprzętem pomocniczym (zabawki, piłki itp.), podchodzenie do pomostów. Zaplanowanie zajęć hipoterapeutycznych (dobór ćwiczeń, stopniowanie wysiłku i skali trudności): faza rozluźnienia, f. aktywności i f. odpoczynku.</w:t>
            </w:r>
          </w:p>
        </w:tc>
      </w:tr>
      <w:tr w:rsidR="00071024" w:rsidRPr="00B2058E" w14:paraId="77B15F04" w14:textId="77777777" w:rsidTr="000A37AA">
        <w:tc>
          <w:tcPr>
            <w:tcW w:w="3942" w:type="dxa"/>
            <w:shd w:val="clear" w:color="auto" w:fill="auto"/>
            <w:vAlign w:val="center"/>
          </w:tcPr>
          <w:p w14:paraId="7F6A0EF9" w14:textId="77777777" w:rsidR="00644231" w:rsidRPr="00B2058E" w:rsidRDefault="00644231" w:rsidP="00644231">
            <w:r w:rsidRPr="00B2058E"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22CD75F2" w14:textId="77777777" w:rsidR="00644231" w:rsidRPr="00C50EFB" w:rsidRDefault="00644231" w:rsidP="00644231">
            <w:pPr>
              <w:rPr>
                <w:b/>
                <w:i/>
              </w:rPr>
            </w:pPr>
            <w:r w:rsidRPr="00C50EFB">
              <w:rPr>
                <w:b/>
                <w:i/>
              </w:rPr>
              <w:t xml:space="preserve">Literatura podstawowa: </w:t>
            </w:r>
          </w:p>
          <w:p w14:paraId="6BEF83D2" w14:textId="77777777" w:rsidR="00C50EFB" w:rsidRPr="00C50EFB" w:rsidRDefault="00C50EFB" w:rsidP="00C50EFB">
            <w:r w:rsidRPr="00C50EFB">
              <w:t>- Strauss I.: Hipoterapia, neurofizjologiczna gimnastyka lecznicza na koniu., Fundacja na Rzecz Rozwoju Rehabilitacji Konnej Dzieci Niepełnosprawnych., Kraków 1996.</w:t>
            </w:r>
          </w:p>
          <w:p w14:paraId="5EA0F471" w14:textId="77777777" w:rsidR="00C50EFB" w:rsidRPr="00C50EFB" w:rsidRDefault="00C50EFB" w:rsidP="00C50EFB">
            <w:r w:rsidRPr="00C50EFB">
              <w:t xml:space="preserve">- </w:t>
            </w:r>
            <w:proofErr w:type="spellStart"/>
            <w:r w:rsidRPr="00C50EFB">
              <w:t>Heipertz-Hengst</w:t>
            </w:r>
            <w:proofErr w:type="spellEnd"/>
            <w:r w:rsidRPr="00C50EFB">
              <w:t xml:space="preserve"> Ch.: Jazda konna dla osób niepełnosprawnych.,</w:t>
            </w:r>
            <w:r w:rsidRPr="00C50EFB">
              <w:rPr>
                <w:color w:val="FF0000"/>
              </w:rPr>
              <w:t xml:space="preserve"> </w:t>
            </w:r>
            <w:r w:rsidRPr="00C50EFB">
              <w:t>Państwowe Wydawnictwo Rolnicze i Leśne, Warszawa</w:t>
            </w:r>
            <w:r w:rsidRPr="00C50EFB">
              <w:rPr>
                <w:color w:val="FF0000"/>
              </w:rPr>
              <w:t xml:space="preserve"> </w:t>
            </w:r>
            <w:r w:rsidRPr="00C50EFB">
              <w:t>1997.</w:t>
            </w:r>
          </w:p>
          <w:p w14:paraId="3171860F" w14:textId="49DBFCB0" w:rsidR="00C50EFB" w:rsidRPr="00C50EFB" w:rsidRDefault="00C50EFB" w:rsidP="00C50EFB">
            <w:r w:rsidRPr="00C50EFB">
              <w:t>- Strumińska A.</w:t>
            </w:r>
            <w:r w:rsidRPr="00C50EFB">
              <w:rPr>
                <w:color w:val="FF0000"/>
              </w:rPr>
              <w:t xml:space="preserve">: </w:t>
            </w:r>
            <w:r w:rsidRPr="00C50EFB">
              <w:t>Psychopedagogiczne aspekty hipoterapii dzieci i młodzieży niepełnosprawnych</w:t>
            </w:r>
            <w:r w:rsidRPr="00C50EFB">
              <w:rPr>
                <w:color w:val="FF0000"/>
              </w:rPr>
              <w:t xml:space="preserve"> </w:t>
            </w:r>
            <w:r w:rsidRPr="00C50EFB">
              <w:t>intelektualnie.</w:t>
            </w:r>
            <w:r w:rsidRPr="00C50EFB">
              <w:rPr>
                <w:color w:val="FF0000"/>
              </w:rPr>
              <w:t xml:space="preserve"> </w:t>
            </w:r>
            <w:r w:rsidRPr="00C50EFB">
              <w:t>Red. Strumińska A., Państwowe Wydawnictwo Rolnicze i Leśne,</w:t>
            </w:r>
            <w:r w:rsidRPr="00C50EFB">
              <w:rPr>
                <w:color w:val="FF0000"/>
              </w:rPr>
              <w:t xml:space="preserve"> </w:t>
            </w:r>
            <w:r w:rsidRPr="00C50EFB">
              <w:t>Warszawa 2003.</w:t>
            </w:r>
          </w:p>
          <w:p w14:paraId="5407C13D" w14:textId="57E6199D" w:rsidR="00644231" w:rsidRPr="00C50EFB" w:rsidRDefault="00644231" w:rsidP="00C50EFB">
            <w:pPr>
              <w:rPr>
                <w:b/>
                <w:i/>
              </w:rPr>
            </w:pPr>
            <w:r w:rsidRPr="00C50EFB">
              <w:rPr>
                <w:b/>
                <w:i/>
              </w:rPr>
              <w:t>Literatura uzupełniająca:</w:t>
            </w:r>
          </w:p>
          <w:p w14:paraId="170A0D6A" w14:textId="532AC3F1" w:rsidR="001C593E" w:rsidRPr="00C50EFB" w:rsidRDefault="00C50EFB" w:rsidP="00644231">
            <w:r w:rsidRPr="00C50EFB">
              <w:t>czasopisma hipoterapeutyczne i hipologiczne</w:t>
            </w:r>
            <w:r>
              <w:rPr>
                <w:b/>
                <w:i/>
              </w:rPr>
              <w:t>.</w:t>
            </w:r>
          </w:p>
        </w:tc>
      </w:tr>
      <w:tr w:rsidR="00071024" w:rsidRPr="00B2058E" w14:paraId="5DD7B1EA" w14:textId="77777777" w:rsidTr="000A37AA">
        <w:tc>
          <w:tcPr>
            <w:tcW w:w="3942" w:type="dxa"/>
            <w:shd w:val="clear" w:color="auto" w:fill="auto"/>
            <w:vAlign w:val="center"/>
          </w:tcPr>
          <w:p w14:paraId="6A970F8A" w14:textId="77777777" w:rsidR="00644231" w:rsidRPr="00B2058E" w:rsidRDefault="00644231" w:rsidP="00644231">
            <w:r w:rsidRPr="00B2058E"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03C2156" w14:textId="1603D79B" w:rsidR="00644231" w:rsidRPr="00C50EFB" w:rsidRDefault="00C50EFB" w:rsidP="00644231">
            <w:r w:rsidRPr="00C50EFB">
              <w:t>Wykłady, ćwiczenia audytoryjne (m.in. filmy poglądowe: - „Hipoterapia – jaka i dla kogo”, „Hipoterapia osób z mózgowym porażeniem dziecięcym”, „Terapeutyczna jazda konna dla dzieci upośledzonych umysłowo”), laboratoryjne (w hali z końmi)</w:t>
            </w:r>
            <w:r>
              <w:t>.</w:t>
            </w:r>
          </w:p>
        </w:tc>
      </w:tr>
      <w:tr w:rsidR="00071024" w:rsidRPr="00B2058E" w14:paraId="701BE4CB" w14:textId="77777777" w:rsidTr="000A37AA">
        <w:tc>
          <w:tcPr>
            <w:tcW w:w="3942" w:type="dxa"/>
            <w:shd w:val="clear" w:color="auto" w:fill="auto"/>
            <w:vAlign w:val="center"/>
          </w:tcPr>
          <w:p w14:paraId="36D13766" w14:textId="77777777" w:rsidR="00644231" w:rsidRPr="00B2058E" w:rsidRDefault="00644231" w:rsidP="00644231">
            <w:r w:rsidRPr="00B2058E">
              <w:t>Sposoby weryfikacji oraz formy dokumentowania osiągniętych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3471248" w14:textId="1B1CDD17" w:rsidR="00644231" w:rsidRPr="00B2058E" w:rsidRDefault="009A2C0E" w:rsidP="00644231">
            <w:pPr>
              <w:rPr>
                <w:i/>
              </w:rPr>
            </w:pPr>
            <w:r w:rsidRPr="00B2058E">
              <w:rPr>
                <w:i/>
              </w:rPr>
              <w:t xml:space="preserve">W1,W2,W3 – </w:t>
            </w:r>
            <w:r w:rsidR="006938EC">
              <w:rPr>
                <w:i/>
              </w:rPr>
              <w:t>zaliczenie pisemne</w:t>
            </w:r>
          </w:p>
          <w:p w14:paraId="28951FE9" w14:textId="145A37A2" w:rsidR="009A2C0E" w:rsidRPr="00B2058E" w:rsidRDefault="009A2C0E" w:rsidP="00644231">
            <w:pPr>
              <w:rPr>
                <w:i/>
              </w:rPr>
            </w:pPr>
            <w:r w:rsidRPr="00B2058E">
              <w:rPr>
                <w:i/>
              </w:rPr>
              <w:t>U1</w:t>
            </w:r>
            <w:r w:rsidR="007068F2" w:rsidRPr="00B2058E">
              <w:rPr>
                <w:i/>
              </w:rPr>
              <w:t xml:space="preserve">, </w:t>
            </w:r>
            <w:r w:rsidR="00C50EFB">
              <w:rPr>
                <w:i/>
              </w:rPr>
              <w:t xml:space="preserve">U2, </w:t>
            </w:r>
            <w:r w:rsidR="007068F2" w:rsidRPr="00B2058E">
              <w:rPr>
                <w:i/>
              </w:rPr>
              <w:t>U3</w:t>
            </w:r>
            <w:r w:rsidRPr="00B2058E">
              <w:rPr>
                <w:i/>
              </w:rPr>
              <w:t xml:space="preserve"> – zaliczenie pisemne</w:t>
            </w:r>
          </w:p>
          <w:p w14:paraId="58A5B8B5" w14:textId="51CF462D" w:rsidR="0035124B" w:rsidRPr="00B2058E" w:rsidRDefault="0035124B" w:rsidP="00644231">
            <w:pPr>
              <w:rPr>
                <w:i/>
              </w:rPr>
            </w:pPr>
            <w:r>
              <w:rPr>
                <w:i/>
              </w:rPr>
              <w:t xml:space="preserve">U3 – bezpośrednia praca z </w:t>
            </w:r>
            <w:r w:rsidR="00C50EFB">
              <w:rPr>
                <w:i/>
              </w:rPr>
              <w:t>koniem</w:t>
            </w:r>
          </w:p>
          <w:p w14:paraId="267629A5" w14:textId="5B9A2B21" w:rsidR="009A2C0E" w:rsidRPr="00B2058E" w:rsidRDefault="009A2C0E" w:rsidP="00644231">
            <w:pPr>
              <w:rPr>
                <w:i/>
              </w:rPr>
            </w:pPr>
            <w:r w:rsidRPr="00B2058E">
              <w:rPr>
                <w:i/>
              </w:rPr>
              <w:t xml:space="preserve">K1 – praca </w:t>
            </w:r>
            <w:r w:rsidR="00C50EFB">
              <w:rPr>
                <w:i/>
              </w:rPr>
              <w:t>pisemna</w:t>
            </w:r>
          </w:p>
          <w:p w14:paraId="1E28738A" w14:textId="77777777" w:rsidR="009A2C0E" w:rsidRPr="00B2058E" w:rsidRDefault="009A2C0E" w:rsidP="00644231">
            <w:pPr>
              <w:rPr>
                <w:i/>
              </w:rPr>
            </w:pPr>
          </w:p>
          <w:p w14:paraId="10E52B62" w14:textId="7C5427D4" w:rsidR="00644231" w:rsidRPr="00B2058E" w:rsidRDefault="00644231" w:rsidP="00644231">
            <w:pPr>
              <w:rPr>
                <w:i/>
              </w:rPr>
            </w:pPr>
            <w:r w:rsidRPr="00B2058E">
              <w:rPr>
                <w:i/>
                <w:u w:val="single"/>
              </w:rPr>
              <w:t>DOKUMENTOWANIE OSIĄGNIĘTYCH EFEKTÓW UCZENIA SIĘ</w:t>
            </w:r>
            <w:r w:rsidRPr="00B2058E">
              <w:rPr>
                <w:i/>
              </w:rPr>
              <w:t xml:space="preserve"> w formie: </w:t>
            </w:r>
            <w:r w:rsidR="00071EAB" w:rsidRPr="00B2058E">
              <w:rPr>
                <w:i/>
              </w:rPr>
              <w:t>zaliczenie pisemne</w:t>
            </w:r>
            <w:r w:rsidR="0035124B">
              <w:rPr>
                <w:i/>
              </w:rPr>
              <w:t xml:space="preserve">, bezpośrednia praca z </w:t>
            </w:r>
            <w:r w:rsidR="00C50EFB">
              <w:rPr>
                <w:i/>
              </w:rPr>
              <w:t>koniem podczas której</w:t>
            </w:r>
            <w:r w:rsidR="0035124B">
              <w:rPr>
                <w:i/>
              </w:rPr>
              <w:t xml:space="preserve"> </w:t>
            </w:r>
            <w:r w:rsidR="00A71C47">
              <w:rPr>
                <w:i/>
              </w:rPr>
              <w:t xml:space="preserve">dokonana zostanie </w:t>
            </w:r>
            <w:r w:rsidR="0035124B">
              <w:rPr>
                <w:i/>
              </w:rPr>
              <w:t xml:space="preserve">ocena bezpośrednia </w:t>
            </w:r>
            <w:r w:rsidR="00A71C47">
              <w:rPr>
                <w:i/>
              </w:rPr>
              <w:t>możliwości i predyspozycji konia.</w:t>
            </w:r>
          </w:p>
          <w:p w14:paraId="42BE158F" w14:textId="77777777" w:rsidR="00644231" w:rsidRPr="00B2058E" w:rsidRDefault="00644231" w:rsidP="00644231">
            <w:pPr>
              <w:rPr>
                <w:i/>
              </w:rPr>
            </w:pPr>
          </w:p>
          <w:p w14:paraId="114DE951" w14:textId="77777777" w:rsidR="00644231" w:rsidRPr="00B2058E" w:rsidRDefault="00644231" w:rsidP="00644231">
            <w:pPr>
              <w:rPr>
                <w:i/>
              </w:rPr>
            </w:pPr>
            <w:r w:rsidRPr="00B2058E">
              <w:rPr>
                <w:i/>
              </w:rPr>
              <w:t>Szczegółowe kryteria przy ocenie zaliczenia i prac kontrolnych</w:t>
            </w:r>
          </w:p>
          <w:p w14:paraId="74FC7E25" w14:textId="77777777" w:rsidR="00644231" w:rsidRPr="00B2058E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B2058E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</w:t>
            </w:r>
            <w:r w:rsidRPr="00B2058E">
              <w:rPr>
                <w:i/>
              </w:rPr>
              <w:lastRenderedPageBreak/>
              <w:t xml:space="preserve">danego przedmiotu (odpowiednio, przy zaliczeniu cząstkowym – jego części), </w:t>
            </w:r>
          </w:p>
          <w:p w14:paraId="15805AB7" w14:textId="77777777" w:rsidR="00644231" w:rsidRPr="00B2058E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B2058E">
              <w:rPr>
                <w:i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7824C8F6" w14:textId="77777777" w:rsidR="00644231" w:rsidRPr="00B2058E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B2058E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363E8532" w14:textId="77777777" w:rsidR="00644231" w:rsidRPr="00B2058E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B2058E">
              <w:rPr>
                <w:i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1788A483" w14:textId="77777777" w:rsidR="00644231" w:rsidRPr="00B2058E" w:rsidRDefault="00644231" w:rsidP="0064423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B2058E">
              <w:rPr>
                <w:i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071024" w:rsidRPr="00B2058E" w14:paraId="33B70A2C" w14:textId="77777777" w:rsidTr="000A37AA">
        <w:tc>
          <w:tcPr>
            <w:tcW w:w="3942" w:type="dxa"/>
            <w:shd w:val="clear" w:color="auto" w:fill="auto"/>
            <w:vAlign w:val="center"/>
          </w:tcPr>
          <w:p w14:paraId="79252A37" w14:textId="77777777" w:rsidR="00644231" w:rsidRPr="00B2058E" w:rsidRDefault="00644231" w:rsidP="00644231">
            <w:r w:rsidRPr="00B2058E">
              <w:lastRenderedPageBreak/>
              <w:t>Elementy i wagi mające wpływ na ocenę końcową</w:t>
            </w:r>
          </w:p>
          <w:p w14:paraId="21D18488" w14:textId="77777777" w:rsidR="00644231" w:rsidRPr="00B2058E" w:rsidRDefault="00644231" w:rsidP="00644231"/>
          <w:p w14:paraId="7DD61551" w14:textId="77777777" w:rsidR="00644231" w:rsidRPr="00B2058E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18FCC24F" w14:textId="2707D759" w:rsidR="00644231" w:rsidRPr="00B2058E" w:rsidRDefault="00644231" w:rsidP="00644231">
            <w:pPr>
              <w:jc w:val="both"/>
              <w:rPr>
                <w:i/>
              </w:rPr>
            </w:pPr>
            <w:r w:rsidRPr="00B2058E">
              <w:rPr>
                <w:i/>
              </w:rPr>
              <w:t xml:space="preserve">Na ocenę końcową ma wpływ średnia ocena z </w:t>
            </w:r>
            <w:r w:rsidR="0040793A">
              <w:rPr>
                <w:i/>
              </w:rPr>
              <w:t>z</w:t>
            </w:r>
            <w:r w:rsidR="009A2C0E" w:rsidRPr="00B2058E">
              <w:rPr>
                <w:i/>
              </w:rPr>
              <w:t>alicze</w:t>
            </w:r>
            <w:r w:rsidR="00A71C47">
              <w:rPr>
                <w:i/>
              </w:rPr>
              <w:t>ń</w:t>
            </w:r>
            <w:r w:rsidR="009A2C0E" w:rsidRPr="00B2058E">
              <w:rPr>
                <w:i/>
              </w:rPr>
              <w:t xml:space="preserve"> </w:t>
            </w:r>
            <w:r w:rsidR="00A71C47">
              <w:rPr>
                <w:i/>
              </w:rPr>
              <w:t>pisemnych</w:t>
            </w:r>
            <w:r w:rsidR="009A2C0E" w:rsidRPr="00B2058E">
              <w:rPr>
                <w:i/>
              </w:rPr>
              <w:t xml:space="preserve"> </w:t>
            </w:r>
            <w:r w:rsidRPr="00B2058E">
              <w:rPr>
                <w:i/>
              </w:rPr>
              <w:t>(</w:t>
            </w:r>
            <w:r w:rsidR="0040793A">
              <w:rPr>
                <w:i/>
              </w:rPr>
              <w:t>50</w:t>
            </w:r>
            <w:r w:rsidRPr="00B2058E">
              <w:rPr>
                <w:i/>
              </w:rPr>
              <w:t>%)</w:t>
            </w:r>
            <w:r w:rsidR="009A2C0E" w:rsidRPr="00B2058E">
              <w:rPr>
                <w:i/>
              </w:rPr>
              <w:t xml:space="preserve">, ocena pracy </w:t>
            </w:r>
            <w:r w:rsidR="00A71C47">
              <w:rPr>
                <w:i/>
              </w:rPr>
              <w:t>w zespole</w:t>
            </w:r>
            <w:r w:rsidR="009A2C0E" w:rsidRPr="00B2058E">
              <w:rPr>
                <w:i/>
              </w:rPr>
              <w:t xml:space="preserve"> (</w:t>
            </w:r>
            <w:r w:rsidR="0040793A">
              <w:rPr>
                <w:i/>
              </w:rPr>
              <w:t>25</w:t>
            </w:r>
            <w:r w:rsidR="009A2C0E" w:rsidRPr="00B2058E">
              <w:rPr>
                <w:i/>
              </w:rPr>
              <w:t>%)</w:t>
            </w:r>
            <w:r w:rsidR="0040793A">
              <w:rPr>
                <w:i/>
              </w:rPr>
              <w:t xml:space="preserve">, praca z </w:t>
            </w:r>
            <w:r w:rsidR="00A71C47">
              <w:rPr>
                <w:i/>
              </w:rPr>
              <w:t>koniem</w:t>
            </w:r>
            <w:r w:rsidR="0040793A">
              <w:rPr>
                <w:i/>
              </w:rPr>
              <w:t xml:space="preserve"> (25%)</w:t>
            </w:r>
            <w:r w:rsidR="00A71C47">
              <w:rPr>
                <w:i/>
              </w:rPr>
              <w:t xml:space="preserve">, frekwencja oraz zaangażowanie na zajęciach. </w:t>
            </w:r>
            <w:r w:rsidRPr="00B2058E">
              <w:rPr>
                <w:i/>
              </w:rPr>
              <w:t>Warunki te są przedstawiane studentom i konsultowane z nimi na pierwszym wykładzie.</w:t>
            </w:r>
          </w:p>
        </w:tc>
      </w:tr>
      <w:tr w:rsidR="00071024" w:rsidRPr="00B2058E" w14:paraId="77D92855" w14:textId="77777777" w:rsidTr="000A37AA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100DF9AD" w14:textId="77777777" w:rsidR="00644231" w:rsidRPr="00B2058E" w:rsidRDefault="00644231" w:rsidP="00644231">
            <w:pPr>
              <w:jc w:val="both"/>
            </w:pPr>
            <w:r w:rsidRPr="00B2058E"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3302477" w14:textId="77777777" w:rsidR="00506C22" w:rsidRPr="00B2058E" w:rsidRDefault="00506C22" w:rsidP="00506C22">
            <w:pPr>
              <w:rPr>
                <w:i/>
              </w:rPr>
            </w:pPr>
            <w:r w:rsidRPr="00B2058E">
              <w:t xml:space="preserve">     </w:t>
            </w:r>
            <w:r w:rsidRPr="00B2058E">
              <w:rPr>
                <w:b/>
                <w:i/>
              </w:rPr>
              <w:t>Kontaktowe</w:t>
            </w:r>
          </w:p>
          <w:p w14:paraId="68F388B3" w14:textId="77777777" w:rsidR="00506C22" w:rsidRPr="00B2058E" w:rsidRDefault="00506C22" w:rsidP="00506C22">
            <w:r w:rsidRPr="00B2058E">
              <w:t xml:space="preserve">                 Godziny   ECTS</w:t>
            </w:r>
          </w:p>
          <w:p w14:paraId="44FE6BC1" w14:textId="77777777" w:rsidR="00FF6F8F" w:rsidRDefault="00FF6F8F" w:rsidP="00FF6F8F">
            <w:r>
              <w:t>wykłady</w:t>
            </w:r>
            <w:r>
              <w:tab/>
              <w:t>15</w:t>
            </w:r>
            <w:r>
              <w:tab/>
              <w:t>0,6</w:t>
            </w:r>
          </w:p>
          <w:p w14:paraId="6F789F68" w14:textId="77777777" w:rsidR="00FF6F8F" w:rsidRDefault="00FF6F8F" w:rsidP="00FF6F8F">
            <w:r>
              <w:t>ćwiczenia</w:t>
            </w:r>
            <w:r>
              <w:tab/>
              <w:t>30</w:t>
            </w:r>
            <w:r>
              <w:tab/>
              <w:t>1,2</w:t>
            </w:r>
          </w:p>
          <w:p w14:paraId="11146E62" w14:textId="01883FE3" w:rsidR="00506C22" w:rsidRPr="00B2058E" w:rsidRDefault="00FF6F8F" w:rsidP="00FF6F8F">
            <w:r>
              <w:t>konsultacje</w:t>
            </w:r>
            <w:r>
              <w:tab/>
              <w:t>4</w:t>
            </w:r>
            <w:r>
              <w:tab/>
              <w:t>0,16</w:t>
            </w:r>
          </w:p>
          <w:p w14:paraId="57DB5AE0" w14:textId="77777777" w:rsidR="00506C22" w:rsidRPr="00B2058E" w:rsidRDefault="00506C22" w:rsidP="00506C22"/>
          <w:p w14:paraId="153A22D6" w14:textId="4D5CBF13" w:rsidR="00506C22" w:rsidRPr="00B2058E" w:rsidRDefault="00506C22" w:rsidP="00506C22">
            <w:pPr>
              <w:rPr>
                <w:b/>
                <w:i/>
              </w:rPr>
            </w:pPr>
            <w:r w:rsidRPr="00B2058E">
              <w:rPr>
                <w:b/>
                <w:i/>
              </w:rPr>
              <w:t xml:space="preserve">Łącznie </w:t>
            </w:r>
            <w:r w:rsidR="00FF6F8F">
              <w:rPr>
                <w:b/>
                <w:i/>
              </w:rPr>
              <w:t>49</w:t>
            </w:r>
            <w:r w:rsidR="00C52391" w:rsidRPr="00B2058E">
              <w:rPr>
                <w:b/>
                <w:i/>
              </w:rPr>
              <w:t xml:space="preserve"> godz. (</w:t>
            </w:r>
            <w:r w:rsidR="00FF6F8F">
              <w:rPr>
                <w:b/>
                <w:i/>
              </w:rPr>
              <w:t>1,96</w:t>
            </w:r>
            <w:r w:rsidR="00C52391" w:rsidRPr="00B2058E">
              <w:rPr>
                <w:b/>
                <w:i/>
              </w:rPr>
              <w:t xml:space="preserve"> ECTS)</w:t>
            </w:r>
          </w:p>
          <w:p w14:paraId="72572EF3" w14:textId="77777777" w:rsidR="00506C22" w:rsidRPr="00B2058E" w:rsidRDefault="00506C22" w:rsidP="00506C22">
            <w:pPr>
              <w:rPr>
                <w:b/>
                <w:i/>
              </w:rPr>
            </w:pPr>
          </w:p>
          <w:p w14:paraId="15B11DDC" w14:textId="77777777" w:rsidR="00506C22" w:rsidRPr="00B2058E" w:rsidRDefault="00506C22" w:rsidP="00506C22">
            <w:pPr>
              <w:rPr>
                <w:b/>
                <w:i/>
              </w:rPr>
            </w:pPr>
            <w:r w:rsidRPr="00B2058E">
              <w:rPr>
                <w:b/>
                <w:i/>
              </w:rPr>
              <w:t xml:space="preserve"> </w:t>
            </w:r>
            <w:proofErr w:type="spellStart"/>
            <w:r w:rsidRPr="00B2058E">
              <w:rPr>
                <w:b/>
                <w:i/>
              </w:rPr>
              <w:t>Niekontaktowe</w:t>
            </w:r>
            <w:proofErr w:type="spellEnd"/>
          </w:p>
          <w:p w14:paraId="46D344E2" w14:textId="77777777" w:rsidR="00506C22" w:rsidRPr="00B2058E" w:rsidRDefault="00506C22" w:rsidP="00506C22">
            <w:r w:rsidRPr="00B2058E">
              <w:t xml:space="preserve">                                                   Godziny   ECTS</w:t>
            </w:r>
          </w:p>
          <w:p w14:paraId="32066247" w14:textId="133C452C" w:rsidR="00506C22" w:rsidRPr="00B2058E" w:rsidRDefault="00506C22" w:rsidP="00506C22">
            <w:r w:rsidRPr="00B2058E">
              <w:t>Przygotowanie do zajęć/</w:t>
            </w:r>
            <w:r w:rsidR="00043D58">
              <w:t>kolokwiów</w:t>
            </w:r>
            <w:r w:rsidRPr="00B2058E">
              <w:tab/>
            </w:r>
            <w:r w:rsidR="00A021DA">
              <w:t>30</w:t>
            </w:r>
            <w:r w:rsidRPr="00B2058E">
              <w:tab/>
            </w:r>
            <w:r w:rsidR="00A021DA">
              <w:t>1,2</w:t>
            </w:r>
          </w:p>
          <w:p w14:paraId="39F4FEE8" w14:textId="0BA8E338" w:rsidR="00506C22" w:rsidRPr="00B2058E" w:rsidRDefault="00506C22" w:rsidP="00506C22">
            <w:r w:rsidRPr="00B2058E">
              <w:t>Studiowanie literatury</w:t>
            </w:r>
            <w:r w:rsidRPr="00B2058E">
              <w:tab/>
              <w:t xml:space="preserve">            </w:t>
            </w:r>
            <w:r w:rsidR="00A021DA">
              <w:t>21</w:t>
            </w:r>
            <w:r w:rsidRPr="00B2058E">
              <w:tab/>
            </w:r>
            <w:r w:rsidR="00A021DA">
              <w:t>0,84</w:t>
            </w:r>
          </w:p>
          <w:p w14:paraId="06E3DE34" w14:textId="77777777" w:rsidR="00506C22" w:rsidRPr="00B2058E" w:rsidRDefault="00506C22" w:rsidP="00506C22">
            <w:pPr>
              <w:rPr>
                <w:b/>
              </w:rPr>
            </w:pPr>
          </w:p>
          <w:p w14:paraId="6ED03526" w14:textId="7976BB06" w:rsidR="00506C22" w:rsidRPr="00B2058E" w:rsidRDefault="00506C22" w:rsidP="00506C22">
            <w:pPr>
              <w:rPr>
                <w:b/>
              </w:rPr>
            </w:pPr>
            <w:r w:rsidRPr="00B2058E">
              <w:rPr>
                <w:b/>
              </w:rPr>
              <w:t>Łączn</w:t>
            </w:r>
            <w:r w:rsidR="00C52391" w:rsidRPr="00B2058E">
              <w:rPr>
                <w:b/>
              </w:rPr>
              <w:t xml:space="preserve">ie </w:t>
            </w:r>
            <w:r w:rsidRPr="00B2058E">
              <w:rPr>
                <w:b/>
              </w:rPr>
              <w:t xml:space="preserve"> </w:t>
            </w:r>
            <w:r w:rsidR="00FF6F8F">
              <w:rPr>
                <w:b/>
              </w:rPr>
              <w:t>51</w:t>
            </w:r>
            <w:r w:rsidR="00C52391" w:rsidRPr="00B2058E">
              <w:rPr>
                <w:b/>
              </w:rPr>
              <w:t xml:space="preserve"> godz. (</w:t>
            </w:r>
            <w:r w:rsidR="00FF6F8F">
              <w:rPr>
                <w:b/>
              </w:rPr>
              <w:t>2,04</w:t>
            </w:r>
            <w:r w:rsidR="00C52391" w:rsidRPr="00B2058E">
              <w:rPr>
                <w:b/>
              </w:rPr>
              <w:t xml:space="preserve"> ECTS)</w:t>
            </w:r>
          </w:p>
          <w:p w14:paraId="4493DEDA" w14:textId="77777777" w:rsidR="00644231" w:rsidRPr="00B2058E" w:rsidRDefault="00644231" w:rsidP="00644231">
            <w:pPr>
              <w:ind w:left="120"/>
              <w:rPr>
                <w:i/>
              </w:rPr>
            </w:pPr>
          </w:p>
        </w:tc>
      </w:tr>
      <w:tr w:rsidR="00071024" w:rsidRPr="00B2058E" w14:paraId="44BF9338" w14:textId="77777777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60ED4E98" w14:textId="77777777" w:rsidR="00644231" w:rsidRPr="00B2058E" w:rsidRDefault="00644231" w:rsidP="00644231">
            <w:r w:rsidRPr="00B2058E">
              <w:t xml:space="preserve">Nakład pracy związany z zajęciami wymagającymi bezpośredniego udziału nauczyciela akademickiego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AED1808" w14:textId="65B91305" w:rsidR="00644231" w:rsidRPr="00B2058E" w:rsidRDefault="00506C22" w:rsidP="00644231">
            <w:pPr>
              <w:jc w:val="both"/>
              <w:rPr>
                <w:i/>
              </w:rPr>
            </w:pPr>
            <w:r w:rsidRPr="00B2058E">
              <w:rPr>
                <w:i/>
              </w:rPr>
              <w:t xml:space="preserve">Wykłady – </w:t>
            </w:r>
            <w:r w:rsidR="00C16205">
              <w:rPr>
                <w:i/>
              </w:rPr>
              <w:t>15</w:t>
            </w:r>
            <w:r w:rsidRPr="00B2058E">
              <w:rPr>
                <w:i/>
              </w:rPr>
              <w:t xml:space="preserve"> godz.; ćwiczenia – </w:t>
            </w:r>
            <w:r w:rsidR="00C16205">
              <w:rPr>
                <w:i/>
              </w:rPr>
              <w:t>30</w:t>
            </w:r>
            <w:r w:rsidRPr="00B2058E">
              <w:rPr>
                <w:i/>
              </w:rPr>
              <w:t xml:space="preserve"> – godz.; konsultacje – </w:t>
            </w:r>
            <w:r w:rsidR="00C16205">
              <w:rPr>
                <w:i/>
              </w:rPr>
              <w:t>4</w:t>
            </w:r>
            <w:r w:rsidRPr="00B2058E">
              <w:rPr>
                <w:i/>
              </w:rPr>
              <w:t xml:space="preserve"> godz..</w:t>
            </w:r>
          </w:p>
        </w:tc>
      </w:tr>
    </w:tbl>
    <w:p w14:paraId="1830502F" w14:textId="77777777" w:rsidR="00023A99" w:rsidRDefault="00023A99" w:rsidP="005967D6">
      <w:pPr>
        <w:rPr>
          <w:sz w:val="20"/>
          <w:szCs w:val="20"/>
        </w:rPr>
      </w:pPr>
    </w:p>
    <w:p w14:paraId="1080D7B2" w14:textId="77777777" w:rsidR="00E61AA6" w:rsidRDefault="00E61AA6" w:rsidP="005967D6">
      <w:pPr>
        <w:rPr>
          <w:sz w:val="20"/>
          <w:szCs w:val="20"/>
        </w:rPr>
      </w:pPr>
    </w:p>
    <w:sectPr w:rsidR="00E61AA6" w:rsidSect="000A37AA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DE0C9" w14:textId="77777777" w:rsidR="00802F37" w:rsidRDefault="00802F37" w:rsidP="008D17BD">
      <w:r>
        <w:separator/>
      </w:r>
    </w:p>
  </w:endnote>
  <w:endnote w:type="continuationSeparator" w:id="0">
    <w:p w14:paraId="5BF66432" w14:textId="77777777" w:rsidR="00802F37" w:rsidRDefault="00802F37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9136676" w14:textId="517245F9" w:rsidR="00992D17" w:rsidRDefault="008F16EA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ED7F2C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ED7F2C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784EC35C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A8F9D" w14:textId="77777777" w:rsidR="00802F37" w:rsidRDefault="00802F37" w:rsidP="008D17BD">
      <w:r>
        <w:separator/>
      </w:r>
    </w:p>
  </w:footnote>
  <w:footnote w:type="continuationSeparator" w:id="0">
    <w:p w14:paraId="3EFE86DC" w14:textId="77777777" w:rsidR="00802F37" w:rsidRDefault="00802F37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151873EE"/>
    <w:multiLevelType w:val="hybridMultilevel"/>
    <w:tmpl w:val="5FC6957C"/>
    <w:lvl w:ilvl="0" w:tplc="0415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" w15:restartNumberingAfterBreak="0">
    <w:nsid w:val="228D23E9"/>
    <w:multiLevelType w:val="hybridMultilevel"/>
    <w:tmpl w:val="86725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883ADA"/>
    <w:multiLevelType w:val="hybridMultilevel"/>
    <w:tmpl w:val="7DC45516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375C3"/>
    <w:multiLevelType w:val="hybridMultilevel"/>
    <w:tmpl w:val="0F6E568A"/>
    <w:lvl w:ilvl="0" w:tplc="77E624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F146CA"/>
    <w:multiLevelType w:val="hybridMultilevel"/>
    <w:tmpl w:val="09D20830"/>
    <w:lvl w:ilvl="0" w:tplc="77E6244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E800E9"/>
    <w:multiLevelType w:val="hybridMultilevel"/>
    <w:tmpl w:val="5100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99"/>
    <w:rsid w:val="000077C6"/>
    <w:rsid w:val="00023A99"/>
    <w:rsid w:val="00043D58"/>
    <w:rsid w:val="00050F41"/>
    <w:rsid w:val="0005376E"/>
    <w:rsid w:val="00071024"/>
    <w:rsid w:val="00071EAB"/>
    <w:rsid w:val="000A37AA"/>
    <w:rsid w:val="000D45C2"/>
    <w:rsid w:val="000F587A"/>
    <w:rsid w:val="00101F00"/>
    <w:rsid w:val="00120398"/>
    <w:rsid w:val="00127A0E"/>
    <w:rsid w:val="001C593E"/>
    <w:rsid w:val="00206860"/>
    <w:rsid w:val="00207270"/>
    <w:rsid w:val="002202ED"/>
    <w:rsid w:val="00261D03"/>
    <w:rsid w:val="002835BD"/>
    <w:rsid w:val="00283678"/>
    <w:rsid w:val="002E4043"/>
    <w:rsid w:val="003027F6"/>
    <w:rsid w:val="00306DAA"/>
    <w:rsid w:val="0032739E"/>
    <w:rsid w:val="003305C4"/>
    <w:rsid w:val="0035124B"/>
    <w:rsid w:val="003853C3"/>
    <w:rsid w:val="003B32BF"/>
    <w:rsid w:val="0040793A"/>
    <w:rsid w:val="00457679"/>
    <w:rsid w:val="004A6FA9"/>
    <w:rsid w:val="004B189D"/>
    <w:rsid w:val="004E014A"/>
    <w:rsid w:val="00500899"/>
    <w:rsid w:val="00506C22"/>
    <w:rsid w:val="00523875"/>
    <w:rsid w:val="00541DFF"/>
    <w:rsid w:val="00570511"/>
    <w:rsid w:val="0057184E"/>
    <w:rsid w:val="00575B86"/>
    <w:rsid w:val="005869D2"/>
    <w:rsid w:val="00592A99"/>
    <w:rsid w:val="005967D6"/>
    <w:rsid w:val="005D06E4"/>
    <w:rsid w:val="005D0CBE"/>
    <w:rsid w:val="0062566B"/>
    <w:rsid w:val="0063487A"/>
    <w:rsid w:val="00644231"/>
    <w:rsid w:val="00661938"/>
    <w:rsid w:val="00670108"/>
    <w:rsid w:val="006742BC"/>
    <w:rsid w:val="006938EC"/>
    <w:rsid w:val="006A4CD2"/>
    <w:rsid w:val="006F3573"/>
    <w:rsid w:val="007068F2"/>
    <w:rsid w:val="007110C9"/>
    <w:rsid w:val="007B768F"/>
    <w:rsid w:val="00802F37"/>
    <w:rsid w:val="0083437D"/>
    <w:rsid w:val="00850B52"/>
    <w:rsid w:val="00890FBE"/>
    <w:rsid w:val="0089357C"/>
    <w:rsid w:val="00893CD3"/>
    <w:rsid w:val="00896BC2"/>
    <w:rsid w:val="008A7DE0"/>
    <w:rsid w:val="008B52F7"/>
    <w:rsid w:val="008D0B7E"/>
    <w:rsid w:val="008D13BA"/>
    <w:rsid w:val="008D17BD"/>
    <w:rsid w:val="008F16EA"/>
    <w:rsid w:val="00907589"/>
    <w:rsid w:val="00914867"/>
    <w:rsid w:val="0092197E"/>
    <w:rsid w:val="00934DAA"/>
    <w:rsid w:val="0094004C"/>
    <w:rsid w:val="009618E8"/>
    <w:rsid w:val="00980EBB"/>
    <w:rsid w:val="0098654A"/>
    <w:rsid w:val="00991350"/>
    <w:rsid w:val="00992D17"/>
    <w:rsid w:val="00997FAC"/>
    <w:rsid w:val="009A2C0E"/>
    <w:rsid w:val="009C2572"/>
    <w:rsid w:val="009E49CA"/>
    <w:rsid w:val="00A021DA"/>
    <w:rsid w:val="00A25D78"/>
    <w:rsid w:val="00A27747"/>
    <w:rsid w:val="00A3615A"/>
    <w:rsid w:val="00A61319"/>
    <w:rsid w:val="00A6673A"/>
    <w:rsid w:val="00A71C47"/>
    <w:rsid w:val="00A81EF3"/>
    <w:rsid w:val="00AA02DB"/>
    <w:rsid w:val="00AD6F61"/>
    <w:rsid w:val="00AF0E13"/>
    <w:rsid w:val="00B2058E"/>
    <w:rsid w:val="00B218D7"/>
    <w:rsid w:val="00B32323"/>
    <w:rsid w:val="00B400C0"/>
    <w:rsid w:val="00B57EA1"/>
    <w:rsid w:val="00B71AE7"/>
    <w:rsid w:val="00B742CE"/>
    <w:rsid w:val="00B919DD"/>
    <w:rsid w:val="00B91AFE"/>
    <w:rsid w:val="00BA2E91"/>
    <w:rsid w:val="00BD58D3"/>
    <w:rsid w:val="00BF20FE"/>
    <w:rsid w:val="00BF5620"/>
    <w:rsid w:val="00C16205"/>
    <w:rsid w:val="00C50EFB"/>
    <w:rsid w:val="00C52391"/>
    <w:rsid w:val="00C778AC"/>
    <w:rsid w:val="00CD3047"/>
    <w:rsid w:val="00CD423D"/>
    <w:rsid w:val="00D2747A"/>
    <w:rsid w:val="00D35D85"/>
    <w:rsid w:val="00D552F8"/>
    <w:rsid w:val="00DA028D"/>
    <w:rsid w:val="00DC2364"/>
    <w:rsid w:val="00E15845"/>
    <w:rsid w:val="00E16001"/>
    <w:rsid w:val="00E54369"/>
    <w:rsid w:val="00E61AA6"/>
    <w:rsid w:val="00E832C8"/>
    <w:rsid w:val="00E84533"/>
    <w:rsid w:val="00E93CA9"/>
    <w:rsid w:val="00EC3848"/>
    <w:rsid w:val="00EC4E86"/>
    <w:rsid w:val="00ED7F2C"/>
    <w:rsid w:val="00EE7227"/>
    <w:rsid w:val="00F02DA4"/>
    <w:rsid w:val="00F02E5D"/>
    <w:rsid w:val="00F2295C"/>
    <w:rsid w:val="00F25CD7"/>
    <w:rsid w:val="00F46BE5"/>
    <w:rsid w:val="00F82B32"/>
    <w:rsid w:val="00FB0556"/>
    <w:rsid w:val="00FB320E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58FD"/>
  <w15:docId w15:val="{41A564BC-4324-49B6-AEF6-74A980E4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character" w:customStyle="1" w:styleId="hps">
    <w:name w:val="hps"/>
    <w:uiPriority w:val="99"/>
    <w:rsid w:val="0064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8EB6E-F817-428D-A72D-0D2C039E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993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4</cp:revision>
  <cp:lastPrinted>2023-06-30T08:29:00Z</cp:lastPrinted>
  <dcterms:created xsi:type="dcterms:W3CDTF">2023-06-30T12:34:00Z</dcterms:created>
  <dcterms:modified xsi:type="dcterms:W3CDTF">2024-02-03T16:21:00Z</dcterms:modified>
</cp:coreProperties>
</file>