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64F43" w14:textId="77777777" w:rsidR="00023A99" w:rsidRPr="003305C4" w:rsidRDefault="00B400C0" w:rsidP="00023A99">
      <w:pPr>
        <w:rPr>
          <w:b/>
          <w:sz w:val="22"/>
          <w:szCs w:val="22"/>
        </w:rPr>
      </w:pPr>
      <w:r w:rsidRPr="003305C4">
        <w:rPr>
          <w:b/>
          <w:sz w:val="22"/>
          <w:szCs w:val="22"/>
        </w:rPr>
        <w:t>Karta opisu zajęć (s</w:t>
      </w:r>
      <w:r w:rsidR="0092197E" w:rsidRPr="003305C4">
        <w:rPr>
          <w:b/>
          <w:sz w:val="22"/>
          <w:szCs w:val="22"/>
        </w:rPr>
        <w:t>ylabus)</w:t>
      </w:r>
    </w:p>
    <w:p w14:paraId="2F6B9B4D" w14:textId="77777777" w:rsidR="00B400C0" w:rsidRPr="003305C4" w:rsidRDefault="00B400C0" w:rsidP="00023A99">
      <w:pPr>
        <w:rPr>
          <w:b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8A5F90" w:rsidRPr="00F64DA6" w14:paraId="5A4C828C" w14:textId="77777777" w:rsidTr="00FA5CB3">
        <w:tc>
          <w:tcPr>
            <w:tcW w:w="3942" w:type="dxa"/>
            <w:shd w:val="clear" w:color="auto" w:fill="auto"/>
            <w:vAlign w:val="center"/>
          </w:tcPr>
          <w:p w14:paraId="4E31AA45" w14:textId="76ABD325" w:rsidR="008A5F90" w:rsidRPr="00F64DA6" w:rsidRDefault="008A5F90" w:rsidP="008A5F90">
            <w:r w:rsidRPr="00F64DA6">
              <w:t xml:space="preserve">Nazwa kierunku studiów </w:t>
            </w:r>
            <w:r w:rsidR="001F2770" w:rsidRPr="00F64DA6">
              <w:t>BH ST</w:t>
            </w:r>
          </w:p>
          <w:p w14:paraId="625DF5FA" w14:textId="77777777" w:rsidR="008A5F90" w:rsidRPr="00F64DA6" w:rsidRDefault="008A5F90" w:rsidP="008A5F90"/>
        </w:tc>
        <w:tc>
          <w:tcPr>
            <w:tcW w:w="5344" w:type="dxa"/>
            <w:shd w:val="clear" w:color="auto" w:fill="auto"/>
          </w:tcPr>
          <w:p w14:paraId="49B25AA7" w14:textId="41BCEE91" w:rsidR="008A5F90" w:rsidRPr="00F64DA6" w:rsidRDefault="008A5F90" w:rsidP="000F4E90">
            <w:pPr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>Bezpieczeństwo i Higiena Pracy</w:t>
            </w:r>
          </w:p>
        </w:tc>
      </w:tr>
      <w:tr w:rsidR="008A5F90" w:rsidRPr="004D17A8" w14:paraId="06C8ECF4" w14:textId="77777777" w:rsidTr="00FA5CB3">
        <w:tc>
          <w:tcPr>
            <w:tcW w:w="3942" w:type="dxa"/>
            <w:shd w:val="clear" w:color="auto" w:fill="auto"/>
            <w:vAlign w:val="center"/>
          </w:tcPr>
          <w:p w14:paraId="44391272" w14:textId="77777777" w:rsidR="008A5F90" w:rsidRPr="00F64DA6" w:rsidRDefault="008A5F90" w:rsidP="008A5F90">
            <w:r w:rsidRPr="00F64DA6">
              <w:t>Nazwa modułu, także nazwa w języku angielskim</w:t>
            </w:r>
          </w:p>
        </w:tc>
        <w:tc>
          <w:tcPr>
            <w:tcW w:w="5344" w:type="dxa"/>
            <w:shd w:val="clear" w:color="auto" w:fill="auto"/>
          </w:tcPr>
          <w:p w14:paraId="4DD32D05" w14:textId="77777777" w:rsidR="00B472AA" w:rsidRPr="00F64DA6" w:rsidRDefault="00B472AA" w:rsidP="000F4E90">
            <w:pPr>
              <w:jc w:val="both"/>
              <w:rPr>
                <w:bCs/>
                <w:color w:val="000000" w:themeColor="text1"/>
                <w:lang w:val="en-US"/>
              </w:rPr>
            </w:pPr>
            <w:r w:rsidRPr="00F64DA6">
              <w:rPr>
                <w:bCs/>
                <w:color w:val="000000" w:themeColor="text1"/>
                <w:lang w:val="en-US"/>
              </w:rPr>
              <w:t xml:space="preserve">Zapobieganie </w:t>
            </w:r>
            <w:proofErr w:type="spellStart"/>
            <w:r w:rsidRPr="00F64DA6">
              <w:rPr>
                <w:bCs/>
                <w:color w:val="000000" w:themeColor="text1"/>
                <w:lang w:val="en-US"/>
              </w:rPr>
              <w:t>chorobom</w:t>
            </w:r>
            <w:proofErr w:type="spellEnd"/>
            <w:r w:rsidRPr="00F64DA6">
              <w:rPr>
                <w:bCs/>
                <w:color w:val="000000" w:themeColor="text1"/>
                <w:lang w:val="en-US"/>
              </w:rPr>
              <w:t xml:space="preserve"> </w:t>
            </w:r>
            <w:proofErr w:type="spellStart"/>
            <w:r w:rsidRPr="00F64DA6">
              <w:rPr>
                <w:bCs/>
                <w:color w:val="000000" w:themeColor="text1"/>
                <w:lang w:val="en-US"/>
              </w:rPr>
              <w:t>cywilizacyjnym</w:t>
            </w:r>
            <w:proofErr w:type="spellEnd"/>
          </w:p>
          <w:p w14:paraId="3972ECA9" w14:textId="77777777" w:rsidR="002249F9" w:rsidRPr="00F64DA6" w:rsidRDefault="002249F9" w:rsidP="002249F9">
            <w:pPr>
              <w:jc w:val="both"/>
              <w:rPr>
                <w:bCs/>
                <w:color w:val="000000" w:themeColor="text1"/>
                <w:lang w:val="en-US"/>
              </w:rPr>
            </w:pPr>
            <w:r w:rsidRPr="00F64DA6">
              <w:rPr>
                <w:bCs/>
                <w:color w:val="000000" w:themeColor="text1"/>
                <w:lang w:val="en-US"/>
              </w:rPr>
              <w:t>Prevention of civilization diseases of employees</w:t>
            </w:r>
          </w:p>
          <w:p w14:paraId="5C85743B" w14:textId="6523266E" w:rsidR="002249F9" w:rsidRPr="00F64DA6" w:rsidRDefault="002249F9" w:rsidP="000F4E90">
            <w:pPr>
              <w:jc w:val="both"/>
              <w:rPr>
                <w:bCs/>
                <w:color w:val="000000" w:themeColor="text1"/>
                <w:lang w:val="en-US"/>
              </w:rPr>
            </w:pPr>
          </w:p>
        </w:tc>
      </w:tr>
      <w:tr w:rsidR="008A5F90" w:rsidRPr="00F64DA6" w14:paraId="02636F74" w14:textId="77777777" w:rsidTr="00FA5CB3">
        <w:tc>
          <w:tcPr>
            <w:tcW w:w="3942" w:type="dxa"/>
            <w:shd w:val="clear" w:color="auto" w:fill="auto"/>
            <w:vAlign w:val="center"/>
          </w:tcPr>
          <w:p w14:paraId="6537073C" w14:textId="77777777" w:rsidR="008A5F90" w:rsidRPr="00F64DA6" w:rsidRDefault="008A5F90" w:rsidP="008A5F90">
            <w:r w:rsidRPr="00F64DA6">
              <w:t xml:space="preserve">Język wykładowy </w:t>
            </w:r>
          </w:p>
          <w:p w14:paraId="0B1D644A" w14:textId="77777777" w:rsidR="008A5F90" w:rsidRPr="00F64DA6" w:rsidRDefault="008A5F90" w:rsidP="008A5F90"/>
        </w:tc>
        <w:tc>
          <w:tcPr>
            <w:tcW w:w="5344" w:type="dxa"/>
            <w:shd w:val="clear" w:color="auto" w:fill="auto"/>
          </w:tcPr>
          <w:p w14:paraId="019D160C" w14:textId="5059E36A" w:rsidR="008A5F90" w:rsidRPr="00F64DA6" w:rsidRDefault="002249F9" w:rsidP="000F4E90">
            <w:pPr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F64DA6">
              <w:rPr>
                <w:color w:val="000000" w:themeColor="text1"/>
                <w:lang w:val="en-US"/>
              </w:rPr>
              <w:t>polski</w:t>
            </w:r>
            <w:proofErr w:type="spellEnd"/>
          </w:p>
        </w:tc>
      </w:tr>
      <w:tr w:rsidR="008A5F90" w:rsidRPr="00F64DA6" w14:paraId="7415136A" w14:textId="77777777" w:rsidTr="00FA5CB3">
        <w:tc>
          <w:tcPr>
            <w:tcW w:w="3942" w:type="dxa"/>
            <w:shd w:val="clear" w:color="auto" w:fill="auto"/>
            <w:vAlign w:val="center"/>
          </w:tcPr>
          <w:p w14:paraId="3BB7653F" w14:textId="77777777" w:rsidR="008A5F90" w:rsidRPr="00F64DA6" w:rsidRDefault="008A5F90" w:rsidP="008A5F90">
            <w:pPr>
              <w:autoSpaceDE w:val="0"/>
              <w:autoSpaceDN w:val="0"/>
              <w:adjustRightInd w:val="0"/>
            </w:pPr>
            <w:r w:rsidRPr="00F64DA6">
              <w:t xml:space="preserve">Rodzaj modułu </w:t>
            </w:r>
          </w:p>
          <w:p w14:paraId="05B3F865" w14:textId="77777777" w:rsidR="008A5F90" w:rsidRPr="00F64DA6" w:rsidRDefault="008A5F90" w:rsidP="008A5F90"/>
        </w:tc>
        <w:tc>
          <w:tcPr>
            <w:tcW w:w="5344" w:type="dxa"/>
            <w:shd w:val="clear" w:color="auto" w:fill="auto"/>
          </w:tcPr>
          <w:p w14:paraId="644CDF08" w14:textId="4272938B" w:rsidR="008A5F90" w:rsidRPr="00F64DA6" w:rsidRDefault="000F4E90" w:rsidP="000F4E90">
            <w:pPr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>f</w:t>
            </w:r>
            <w:r w:rsidR="008A5F90" w:rsidRPr="00F64DA6">
              <w:rPr>
                <w:color w:val="000000" w:themeColor="text1"/>
              </w:rPr>
              <w:t>akultatywny</w:t>
            </w:r>
          </w:p>
        </w:tc>
      </w:tr>
      <w:tr w:rsidR="008A5F90" w:rsidRPr="00F64DA6" w14:paraId="1EEEFC24" w14:textId="77777777" w:rsidTr="00FA5CB3">
        <w:tc>
          <w:tcPr>
            <w:tcW w:w="3942" w:type="dxa"/>
            <w:shd w:val="clear" w:color="auto" w:fill="auto"/>
            <w:vAlign w:val="center"/>
          </w:tcPr>
          <w:p w14:paraId="6796BDB8" w14:textId="77777777" w:rsidR="008A5F90" w:rsidRPr="00F64DA6" w:rsidRDefault="008A5F90" w:rsidP="008A5F90">
            <w:r w:rsidRPr="00F64DA6">
              <w:t>Poziom studiów</w:t>
            </w:r>
          </w:p>
        </w:tc>
        <w:tc>
          <w:tcPr>
            <w:tcW w:w="5344" w:type="dxa"/>
            <w:shd w:val="clear" w:color="auto" w:fill="auto"/>
          </w:tcPr>
          <w:p w14:paraId="1CF9318F" w14:textId="1A600803" w:rsidR="008A5F90" w:rsidRPr="00F64DA6" w:rsidRDefault="000F4E90" w:rsidP="000F4E90">
            <w:pPr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>pierwszego stopnia</w:t>
            </w:r>
          </w:p>
        </w:tc>
      </w:tr>
      <w:tr w:rsidR="008A5F90" w:rsidRPr="00F64DA6" w14:paraId="7C6CC535" w14:textId="77777777" w:rsidTr="00FA5CB3">
        <w:tc>
          <w:tcPr>
            <w:tcW w:w="3942" w:type="dxa"/>
            <w:shd w:val="clear" w:color="auto" w:fill="auto"/>
            <w:vAlign w:val="center"/>
          </w:tcPr>
          <w:p w14:paraId="514BA59A" w14:textId="77777777" w:rsidR="008A5F90" w:rsidRPr="00F64DA6" w:rsidRDefault="008A5F90" w:rsidP="008A5F90">
            <w:r w:rsidRPr="00F64DA6">
              <w:t>Forma studiów</w:t>
            </w:r>
          </w:p>
          <w:p w14:paraId="5E1CEB72" w14:textId="77777777" w:rsidR="008A5F90" w:rsidRPr="00F64DA6" w:rsidRDefault="008A5F90" w:rsidP="008A5F90"/>
        </w:tc>
        <w:tc>
          <w:tcPr>
            <w:tcW w:w="5344" w:type="dxa"/>
            <w:shd w:val="clear" w:color="auto" w:fill="auto"/>
          </w:tcPr>
          <w:p w14:paraId="168160D7" w14:textId="3FCBE6FA" w:rsidR="008A5F90" w:rsidRPr="00F64DA6" w:rsidRDefault="008A5F90" w:rsidP="000F4E90">
            <w:pPr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>stacjonarne</w:t>
            </w:r>
          </w:p>
        </w:tc>
      </w:tr>
      <w:tr w:rsidR="008A5F90" w:rsidRPr="00F64DA6" w14:paraId="72D4DC38" w14:textId="77777777" w:rsidTr="00FA5CB3">
        <w:tc>
          <w:tcPr>
            <w:tcW w:w="3942" w:type="dxa"/>
            <w:shd w:val="clear" w:color="auto" w:fill="auto"/>
            <w:vAlign w:val="center"/>
          </w:tcPr>
          <w:p w14:paraId="73D68FCA" w14:textId="77777777" w:rsidR="008A5F90" w:rsidRPr="00F64DA6" w:rsidRDefault="008A5F90" w:rsidP="008A5F90">
            <w:r w:rsidRPr="00F64DA6">
              <w:t>Rok studiów dla kierunku</w:t>
            </w:r>
          </w:p>
        </w:tc>
        <w:tc>
          <w:tcPr>
            <w:tcW w:w="5344" w:type="dxa"/>
            <w:shd w:val="clear" w:color="auto" w:fill="auto"/>
          </w:tcPr>
          <w:p w14:paraId="09573D3C" w14:textId="738E9412" w:rsidR="008A5F90" w:rsidRPr="00F64DA6" w:rsidRDefault="00CA0A3C" w:rsidP="000F4E90">
            <w:pPr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>III</w:t>
            </w:r>
          </w:p>
        </w:tc>
      </w:tr>
      <w:tr w:rsidR="008A5F90" w:rsidRPr="00F64DA6" w14:paraId="644E5450" w14:textId="77777777" w:rsidTr="00FA5CB3">
        <w:tc>
          <w:tcPr>
            <w:tcW w:w="3942" w:type="dxa"/>
            <w:shd w:val="clear" w:color="auto" w:fill="auto"/>
            <w:vAlign w:val="center"/>
          </w:tcPr>
          <w:p w14:paraId="6B113DBD" w14:textId="77777777" w:rsidR="008A5F90" w:rsidRPr="00F64DA6" w:rsidRDefault="008A5F90" w:rsidP="008A5F90">
            <w:r w:rsidRPr="00F64DA6">
              <w:t>Semestr dla kierunku</w:t>
            </w:r>
          </w:p>
        </w:tc>
        <w:tc>
          <w:tcPr>
            <w:tcW w:w="5344" w:type="dxa"/>
            <w:shd w:val="clear" w:color="auto" w:fill="auto"/>
          </w:tcPr>
          <w:p w14:paraId="0F7A5CFF" w14:textId="51DE6267" w:rsidR="008A5F90" w:rsidRPr="00F64DA6" w:rsidRDefault="00CA0A3C" w:rsidP="000F4E90">
            <w:pPr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>6</w:t>
            </w:r>
          </w:p>
        </w:tc>
      </w:tr>
      <w:tr w:rsidR="008A5F90" w:rsidRPr="00F64DA6" w14:paraId="05BB0D4E" w14:textId="77777777" w:rsidTr="00FA5CB3">
        <w:tc>
          <w:tcPr>
            <w:tcW w:w="3942" w:type="dxa"/>
            <w:shd w:val="clear" w:color="auto" w:fill="auto"/>
            <w:vAlign w:val="center"/>
          </w:tcPr>
          <w:p w14:paraId="2C056B50" w14:textId="77777777" w:rsidR="008A5F90" w:rsidRPr="00F64DA6" w:rsidRDefault="008A5F90" w:rsidP="008A5F90">
            <w:pPr>
              <w:autoSpaceDE w:val="0"/>
              <w:autoSpaceDN w:val="0"/>
              <w:adjustRightInd w:val="0"/>
            </w:pPr>
            <w:r w:rsidRPr="00F64DA6">
              <w:t>Liczba punktów ECTS z podziałem na kontaktowe/</w:t>
            </w:r>
            <w:proofErr w:type="spellStart"/>
            <w:r w:rsidRPr="00F64DA6">
              <w:t>niekontaktowe</w:t>
            </w:r>
            <w:proofErr w:type="spellEnd"/>
          </w:p>
        </w:tc>
        <w:tc>
          <w:tcPr>
            <w:tcW w:w="5344" w:type="dxa"/>
            <w:shd w:val="clear" w:color="auto" w:fill="auto"/>
          </w:tcPr>
          <w:p w14:paraId="66F2A544" w14:textId="6540780A" w:rsidR="008A5F90" w:rsidRPr="00F64DA6" w:rsidRDefault="000F4E90" w:rsidP="000F4E90">
            <w:pPr>
              <w:spacing w:line="256" w:lineRule="auto"/>
              <w:jc w:val="both"/>
              <w:rPr>
                <w:lang w:eastAsia="en-US"/>
              </w:rPr>
            </w:pPr>
            <w:r w:rsidRPr="00F64DA6">
              <w:rPr>
                <w:lang w:eastAsia="en-US"/>
              </w:rPr>
              <w:t>4 (</w:t>
            </w:r>
            <w:r w:rsidRPr="00F64DA6">
              <w:rPr>
                <w:bCs/>
                <w:lang w:eastAsia="en-US"/>
              </w:rPr>
              <w:t>1,92/2,08)</w:t>
            </w:r>
          </w:p>
        </w:tc>
      </w:tr>
      <w:tr w:rsidR="008A5F90" w:rsidRPr="00F64DA6" w14:paraId="6C8FFD85" w14:textId="77777777" w:rsidTr="00FA5CB3">
        <w:tc>
          <w:tcPr>
            <w:tcW w:w="3942" w:type="dxa"/>
            <w:shd w:val="clear" w:color="auto" w:fill="auto"/>
            <w:vAlign w:val="center"/>
          </w:tcPr>
          <w:p w14:paraId="73FA1684" w14:textId="77777777" w:rsidR="008A5F90" w:rsidRPr="00F64DA6" w:rsidRDefault="008A5F90" w:rsidP="008A5F90">
            <w:pPr>
              <w:autoSpaceDE w:val="0"/>
              <w:autoSpaceDN w:val="0"/>
              <w:adjustRightInd w:val="0"/>
            </w:pPr>
            <w:r w:rsidRPr="00F64DA6">
              <w:t>Tytuł naukowy/stopień naukowy, imię i nazwisko osoby odpowiedzialnej za moduł</w:t>
            </w:r>
          </w:p>
        </w:tc>
        <w:tc>
          <w:tcPr>
            <w:tcW w:w="5344" w:type="dxa"/>
            <w:shd w:val="clear" w:color="auto" w:fill="auto"/>
          </w:tcPr>
          <w:p w14:paraId="5C3EB419" w14:textId="55AAD52C" w:rsidR="008A5F90" w:rsidRPr="00F64DA6" w:rsidRDefault="008A5F90" w:rsidP="000F4E90">
            <w:pPr>
              <w:jc w:val="both"/>
              <w:rPr>
                <w:color w:val="000000" w:themeColor="text1"/>
                <w:lang w:val="en-US"/>
              </w:rPr>
            </w:pPr>
            <w:r w:rsidRPr="00F64DA6">
              <w:rPr>
                <w:color w:val="000000" w:themeColor="text1"/>
              </w:rPr>
              <w:t>Prof. dr hab</w:t>
            </w:r>
            <w:r w:rsidR="00D113AD" w:rsidRPr="00F64DA6">
              <w:rPr>
                <w:color w:val="000000" w:themeColor="text1"/>
              </w:rPr>
              <w:t>.</w:t>
            </w:r>
            <w:r w:rsidRPr="00F64DA6">
              <w:rPr>
                <w:color w:val="000000" w:themeColor="text1"/>
              </w:rPr>
              <w:t xml:space="preserve"> lek.</w:t>
            </w:r>
            <w:r w:rsidR="00D113AD" w:rsidRPr="00F64DA6">
              <w:rPr>
                <w:color w:val="000000" w:themeColor="text1"/>
              </w:rPr>
              <w:t xml:space="preserve"> </w:t>
            </w:r>
            <w:r w:rsidRPr="00F64DA6">
              <w:rPr>
                <w:color w:val="000000" w:themeColor="text1"/>
              </w:rPr>
              <w:t xml:space="preserve">wet. </w:t>
            </w:r>
            <w:r w:rsidRPr="00F64DA6">
              <w:rPr>
                <w:color w:val="000000" w:themeColor="text1"/>
                <w:lang w:val="en-US"/>
              </w:rPr>
              <w:t xml:space="preserve">Hanna </w:t>
            </w:r>
            <w:proofErr w:type="spellStart"/>
            <w:r w:rsidRPr="00F64DA6">
              <w:rPr>
                <w:color w:val="000000" w:themeColor="text1"/>
                <w:lang w:val="en-US"/>
              </w:rPr>
              <w:t>Bis-Wencel</w:t>
            </w:r>
            <w:proofErr w:type="spellEnd"/>
          </w:p>
        </w:tc>
      </w:tr>
      <w:tr w:rsidR="008A5F90" w:rsidRPr="00F64DA6" w14:paraId="75BB2DF9" w14:textId="77777777" w:rsidTr="00432939">
        <w:tc>
          <w:tcPr>
            <w:tcW w:w="3942" w:type="dxa"/>
            <w:shd w:val="clear" w:color="auto" w:fill="auto"/>
            <w:vAlign w:val="center"/>
          </w:tcPr>
          <w:p w14:paraId="6AFDBA5F" w14:textId="77777777" w:rsidR="008A5F90" w:rsidRPr="00F64DA6" w:rsidRDefault="008A5F90" w:rsidP="008A5F90">
            <w:r w:rsidRPr="00F64DA6">
              <w:t>Jednostka oferująca moduł</w:t>
            </w:r>
          </w:p>
          <w:p w14:paraId="22E3AD73" w14:textId="77777777" w:rsidR="008A5F90" w:rsidRPr="00F64DA6" w:rsidRDefault="008A5F90" w:rsidP="008A5F90"/>
        </w:tc>
        <w:tc>
          <w:tcPr>
            <w:tcW w:w="5344" w:type="dxa"/>
            <w:shd w:val="clear" w:color="auto" w:fill="auto"/>
          </w:tcPr>
          <w:p w14:paraId="1381CDA7" w14:textId="6A48A8AF" w:rsidR="008A5F90" w:rsidRPr="00F64DA6" w:rsidRDefault="008A5F90" w:rsidP="000F4E90">
            <w:pPr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 xml:space="preserve">Katedra Higieny Zwierząt i </w:t>
            </w:r>
            <w:r w:rsidR="004925E4" w:rsidRPr="00F64DA6">
              <w:rPr>
                <w:color w:val="000000" w:themeColor="text1"/>
              </w:rPr>
              <w:t xml:space="preserve">Zagrożeń </w:t>
            </w:r>
            <w:r w:rsidRPr="00F64DA6">
              <w:rPr>
                <w:color w:val="000000" w:themeColor="text1"/>
              </w:rPr>
              <w:t>Środowiska</w:t>
            </w:r>
          </w:p>
        </w:tc>
      </w:tr>
      <w:tr w:rsidR="008A5F90" w:rsidRPr="00F64DA6" w14:paraId="23C95056" w14:textId="77777777" w:rsidTr="00432939">
        <w:tc>
          <w:tcPr>
            <w:tcW w:w="3942" w:type="dxa"/>
            <w:shd w:val="clear" w:color="auto" w:fill="auto"/>
            <w:vAlign w:val="center"/>
          </w:tcPr>
          <w:p w14:paraId="28DF8D0A" w14:textId="77777777" w:rsidR="008A5F90" w:rsidRPr="00F64DA6" w:rsidRDefault="008A5F90" w:rsidP="008A5F90">
            <w:r w:rsidRPr="00F64DA6">
              <w:t>Cel modułu</w:t>
            </w:r>
          </w:p>
          <w:p w14:paraId="23327B8C" w14:textId="77777777" w:rsidR="008A5F90" w:rsidRPr="00F64DA6" w:rsidRDefault="008A5F90" w:rsidP="008A5F90"/>
        </w:tc>
        <w:tc>
          <w:tcPr>
            <w:tcW w:w="5344" w:type="dxa"/>
            <w:shd w:val="clear" w:color="auto" w:fill="auto"/>
          </w:tcPr>
          <w:p w14:paraId="62BA6533" w14:textId="18177A94" w:rsidR="008A5F90" w:rsidRPr="00F64DA6" w:rsidRDefault="008A5F90" w:rsidP="000F4E9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>Celem kształcenia studentów w dziedzinie profilaktyki chorób cywilizacyjnych jest określenie podłoża syndromów chorobowych takich jak syndrom metaboliczny, otyłość, cukrzyca, choroby układu krążenia, alergie, epidemie, stany  nerwicowe, depresja i zaburzenia neurowegetatywne, aby wyszkolić specjalistów o ugruntowanej wiedzy i świadomości konieczności przestrzegania kontroli stylu życia, stanu zdrowia i świadomej profilaktyki pracowników.</w:t>
            </w:r>
          </w:p>
        </w:tc>
      </w:tr>
      <w:tr w:rsidR="006E5218" w:rsidRPr="00F64DA6" w14:paraId="53C071BA" w14:textId="77777777" w:rsidTr="00807BA0">
        <w:trPr>
          <w:trHeight w:val="236"/>
        </w:trPr>
        <w:tc>
          <w:tcPr>
            <w:tcW w:w="3942" w:type="dxa"/>
            <w:vMerge w:val="restart"/>
            <w:shd w:val="clear" w:color="auto" w:fill="auto"/>
            <w:vAlign w:val="center"/>
          </w:tcPr>
          <w:p w14:paraId="7D1BC1EA" w14:textId="77777777" w:rsidR="006E5218" w:rsidRPr="00F64DA6" w:rsidRDefault="006E5218" w:rsidP="006E5218">
            <w:pPr>
              <w:jc w:val="both"/>
            </w:pPr>
            <w:r w:rsidRPr="00F64DA6">
              <w:t>Efekty uczenia się dla modułu to opis zasobu wiedzy, umiejętności i kompetencji społecznych, które student osiągnie po zrealizowaniu zajęć.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392" w14:textId="6F56F580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t>Wiedza: absolwent zna i rozumie</w:t>
            </w:r>
          </w:p>
        </w:tc>
      </w:tr>
      <w:tr w:rsidR="006E5218" w:rsidRPr="00F64DA6" w14:paraId="33C19C97" w14:textId="77777777" w:rsidTr="00807BA0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8D7D6AC" w14:textId="77777777" w:rsidR="006E5218" w:rsidRPr="00F64DA6" w:rsidRDefault="006E5218" w:rsidP="006E5218">
            <w:pPr>
              <w:rPr>
                <w:highlight w:val="yellow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3FC1" w14:textId="76150FA1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t>W1. mechanizmy funkcjonowania organizmów żywych, na tle równowagi warunków środowiska ożywionego i nieożywionego z konsekwencjami zaburzeń tej równowagi</w:t>
            </w:r>
          </w:p>
        </w:tc>
      </w:tr>
      <w:tr w:rsidR="006E5218" w:rsidRPr="00F64DA6" w14:paraId="35E076E9" w14:textId="77777777" w:rsidTr="00807BA0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25A11FA7" w14:textId="77777777" w:rsidR="006E5218" w:rsidRPr="00F64DA6" w:rsidRDefault="006E5218" w:rsidP="006E5218">
            <w:pPr>
              <w:rPr>
                <w:highlight w:val="yellow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187E" w14:textId="2105957E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t>W2. techniki i technologie służące ocenie zagrożeń w środowisku pracy zawodowej i ograniczaniu potencjalnych zagrożeń</w:t>
            </w:r>
          </w:p>
        </w:tc>
      </w:tr>
      <w:tr w:rsidR="006E5218" w:rsidRPr="00F64DA6" w14:paraId="7566EEA9" w14:textId="77777777" w:rsidTr="00807BA0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7F3E9A03" w14:textId="77777777" w:rsidR="006E5218" w:rsidRPr="00F64DA6" w:rsidRDefault="006E5218" w:rsidP="006E5218">
            <w:pPr>
              <w:rPr>
                <w:highlight w:val="yellow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F56" w14:textId="6E44BBF1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t>Umiejętności: absolwent potrafi</w:t>
            </w:r>
          </w:p>
        </w:tc>
      </w:tr>
      <w:tr w:rsidR="006E5218" w:rsidRPr="00F64DA6" w14:paraId="241C3994" w14:textId="77777777" w:rsidTr="00807BA0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8DEC0FC" w14:textId="77777777" w:rsidR="006E5218" w:rsidRPr="00F64DA6" w:rsidRDefault="006E5218" w:rsidP="006E5218">
            <w:pPr>
              <w:rPr>
                <w:highlight w:val="yellow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3320" w14:textId="5DEAFD17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t>U1. analizować procesy produkcyjne i oceniać na ich tle bezpieczeństwo ludzi i je korygować</w:t>
            </w:r>
          </w:p>
        </w:tc>
      </w:tr>
      <w:tr w:rsidR="006E5218" w:rsidRPr="00F64DA6" w14:paraId="08B6E56A" w14:textId="77777777" w:rsidTr="00807BA0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9D9AC45" w14:textId="77777777" w:rsidR="006E5218" w:rsidRPr="00F64DA6" w:rsidRDefault="006E5218" w:rsidP="006E5218">
            <w:pPr>
              <w:rPr>
                <w:highlight w:val="yellow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54F7" w14:textId="4F8AA7AA" w:rsidR="006E5218" w:rsidRPr="00F64DA6" w:rsidRDefault="006E5218" w:rsidP="006E5218"/>
          <w:p w14:paraId="5EB2B42C" w14:textId="5D545A00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t>U2. działać prawno-organizacyjnie w celu ochrony zdrowia pracownika i środowiska pracy</w:t>
            </w:r>
          </w:p>
        </w:tc>
      </w:tr>
      <w:tr w:rsidR="006E5218" w:rsidRPr="00F64DA6" w14:paraId="27B66AF9" w14:textId="77777777" w:rsidTr="00807BA0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8BB66C" w14:textId="77777777" w:rsidR="006E5218" w:rsidRPr="00F64DA6" w:rsidRDefault="006E5218" w:rsidP="006E5218">
            <w:pPr>
              <w:rPr>
                <w:highlight w:val="yellow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3FCC" w14:textId="080D9CC7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t>U3. rozwiązywać zaistniałe problemy i wyciągać konsekwencje</w:t>
            </w:r>
          </w:p>
        </w:tc>
      </w:tr>
      <w:tr w:rsidR="006E5218" w:rsidRPr="00F64DA6" w14:paraId="5230CA2E" w14:textId="77777777" w:rsidTr="00807BA0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1C32A195" w14:textId="77777777" w:rsidR="006E5218" w:rsidRPr="00F64DA6" w:rsidRDefault="006E5218" w:rsidP="006E5218">
            <w:pPr>
              <w:rPr>
                <w:highlight w:val="yellow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A3C6" w14:textId="0D442B8E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t>Kompetencje społeczne:</w:t>
            </w:r>
          </w:p>
        </w:tc>
      </w:tr>
      <w:tr w:rsidR="006E5218" w:rsidRPr="00F64DA6" w14:paraId="2555E7BF" w14:textId="77777777" w:rsidTr="00807BA0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34C92C17" w14:textId="77777777" w:rsidR="006E5218" w:rsidRPr="00F64DA6" w:rsidRDefault="006E5218" w:rsidP="006E5218">
            <w:pPr>
              <w:rPr>
                <w:highlight w:val="yellow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3EFB" w14:textId="0B478EFA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t>K1. szanuje bezpieczeństwo swoje i innych współpracowników kontrolując i nadzorując środowisko pracy</w:t>
            </w:r>
          </w:p>
        </w:tc>
      </w:tr>
      <w:tr w:rsidR="006E5218" w:rsidRPr="00F64DA6" w14:paraId="69D0E334" w14:textId="77777777" w:rsidTr="00807BA0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6BA84594" w14:textId="77777777" w:rsidR="006E5218" w:rsidRPr="00F64DA6" w:rsidRDefault="006E5218" w:rsidP="006E5218">
            <w:pPr>
              <w:rPr>
                <w:highlight w:val="yellow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BA3" w14:textId="5344BCA0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t>K2. określa priorytety związane z danym zawodem</w:t>
            </w:r>
          </w:p>
        </w:tc>
      </w:tr>
      <w:tr w:rsidR="006E5218" w:rsidRPr="00F64DA6" w14:paraId="6332C22B" w14:textId="77777777" w:rsidTr="00807BA0">
        <w:trPr>
          <w:trHeight w:val="233"/>
        </w:trPr>
        <w:tc>
          <w:tcPr>
            <w:tcW w:w="3942" w:type="dxa"/>
            <w:vMerge/>
            <w:shd w:val="clear" w:color="auto" w:fill="auto"/>
            <w:vAlign w:val="center"/>
          </w:tcPr>
          <w:p w14:paraId="0DA93DAD" w14:textId="77777777" w:rsidR="006E5218" w:rsidRPr="00F64DA6" w:rsidRDefault="006E5218" w:rsidP="006E5218">
            <w:pPr>
              <w:rPr>
                <w:highlight w:val="yellow"/>
              </w:rPr>
            </w:pP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C06" w14:textId="0F051B9F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t>K3. doskonaląc swoje umiejętności dzieli się strategią z zespołem</w:t>
            </w:r>
          </w:p>
        </w:tc>
      </w:tr>
      <w:tr w:rsidR="006E5218" w:rsidRPr="00F64DA6" w14:paraId="373BEF2C" w14:textId="77777777" w:rsidTr="00790BB0">
        <w:tc>
          <w:tcPr>
            <w:tcW w:w="3942" w:type="dxa"/>
            <w:shd w:val="clear" w:color="auto" w:fill="auto"/>
          </w:tcPr>
          <w:p w14:paraId="1AA4ABD7" w14:textId="072F65E3" w:rsidR="006E5218" w:rsidRPr="00F64DA6" w:rsidRDefault="006E5218" w:rsidP="006E5218">
            <w:r w:rsidRPr="00F64DA6">
              <w:t>Odniesienie modułowych efektów uczenia się do kierunkowych efektów uczenia się</w:t>
            </w:r>
          </w:p>
        </w:tc>
        <w:tc>
          <w:tcPr>
            <w:tcW w:w="5344" w:type="dxa"/>
            <w:shd w:val="clear" w:color="auto" w:fill="auto"/>
          </w:tcPr>
          <w:p w14:paraId="343C1031" w14:textId="77777777" w:rsidR="003D0FC9" w:rsidRPr="00F64DA6" w:rsidRDefault="006E5218" w:rsidP="006E5218">
            <w:pPr>
              <w:jc w:val="both"/>
            </w:pPr>
            <w:r w:rsidRPr="00F64DA6">
              <w:t>Kod efektu modułowego – kod efektu kierunkowego</w:t>
            </w:r>
          </w:p>
          <w:p w14:paraId="664BC088" w14:textId="225F11D6" w:rsidR="006E5218" w:rsidRPr="00F64DA6" w:rsidRDefault="006E5218" w:rsidP="006E5218">
            <w:pPr>
              <w:jc w:val="both"/>
            </w:pPr>
            <w:r w:rsidRPr="00F64DA6">
              <w:t xml:space="preserve"> </w:t>
            </w:r>
          </w:p>
          <w:p w14:paraId="6FE300D9" w14:textId="77777777" w:rsidR="003D0FC9" w:rsidRPr="00F64DA6" w:rsidRDefault="003D0FC9" w:rsidP="003D0FC9">
            <w:pPr>
              <w:jc w:val="both"/>
            </w:pPr>
            <w:r w:rsidRPr="00F64DA6">
              <w:t>W1 -BH_W04</w:t>
            </w:r>
          </w:p>
          <w:p w14:paraId="72A4699C" w14:textId="77777777" w:rsidR="003D0FC9" w:rsidRPr="00F64DA6" w:rsidRDefault="003D0FC9" w:rsidP="003D0FC9">
            <w:pPr>
              <w:jc w:val="both"/>
            </w:pPr>
            <w:r w:rsidRPr="00F64DA6">
              <w:t>W2- BH_W05</w:t>
            </w:r>
          </w:p>
          <w:p w14:paraId="28746B5A" w14:textId="77777777" w:rsidR="003D0FC9" w:rsidRPr="00F64DA6" w:rsidRDefault="003D0FC9" w:rsidP="003D0FC9">
            <w:pPr>
              <w:jc w:val="both"/>
            </w:pPr>
            <w:r w:rsidRPr="00F64DA6">
              <w:t>U1-BH_U04</w:t>
            </w:r>
          </w:p>
          <w:p w14:paraId="154721E8" w14:textId="77777777" w:rsidR="003D0FC9" w:rsidRPr="00F64DA6" w:rsidRDefault="003D0FC9" w:rsidP="003D0FC9">
            <w:pPr>
              <w:jc w:val="both"/>
            </w:pPr>
            <w:r w:rsidRPr="00F64DA6">
              <w:t>U2- BH_U05</w:t>
            </w:r>
          </w:p>
          <w:p w14:paraId="64EC7C53" w14:textId="77777777" w:rsidR="003D0FC9" w:rsidRPr="00F64DA6" w:rsidRDefault="003D0FC9" w:rsidP="003D0FC9">
            <w:pPr>
              <w:jc w:val="both"/>
            </w:pPr>
            <w:r w:rsidRPr="00F64DA6">
              <w:t>U3 -BH_U06</w:t>
            </w:r>
          </w:p>
          <w:p w14:paraId="5F6A5B16" w14:textId="77777777" w:rsidR="003D0FC9" w:rsidRPr="00F64DA6" w:rsidRDefault="003D0FC9" w:rsidP="003D0FC9">
            <w:pPr>
              <w:jc w:val="both"/>
            </w:pPr>
            <w:r w:rsidRPr="00F64DA6">
              <w:t>K1-BH_K01</w:t>
            </w:r>
          </w:p>
          <w:p w14:paraId="0E353A28" w14:textId="77777777" w:rsidR="003D0FC9" w:rsidRPr="00F64DA6" w:rsidRDefault="003D0FC9" w:rsidP="003D0FC9">
            <w:pPr>
              <w:jc w:val="both"/>
            </w:pPr>
            <w:r w:rsidRPr="00F64DA6">
              <w:t>K2-BH_K02</w:t>
            </w:r>
          </w:p>
          <w:p w14:paraId="2B04B7DF" w14:textId="77777777" w:rsidR="003D0FC9" w:rsidRPr="00F64DA6" w:rsidRDefault="003D0FC9" w:rsidP="003D0FC9">
            <w:pPr>
              <w:jc w:val="both"/>
            </w:pPr>
            <w:r w:rsidRPr="00F64DA6">
              <w:t>K3-BH_K05</w:t>
            </w:r>
          </w:p>
          <w:p w14:paraId="3A610650" w14:textId="77777777" w:rsidR="006E5218" w:rsidRPr="00F64DA6" w:rsidRDefault="006E5218" w:rsidP="003D0FC9">
            <w:pPr>
              <w:jc w:val="both"/>
              <w:rPr>
                <w:color w:val="000000" w:themeColor="text1"/>
              </w:rPr>
            </w:pPr>
          </w:p>
        </w:tc>
      </w:tr>
      <w:tr w:rsidR="003D0FC9" w:rsidRPr="00F64DA6" w14:paraId="507D2BF7" w14:textId="77777777" w:rsidTr="003305C4">
        <w:tc>
          <w:tcPr>
            <w:tcW w:w="3942" w:type="dxa"/>
            <w:shd w:val="clear" w:color="auto" w:fill="auto"/>
            <w:vAlign w:val="center"/>
          </w:tcPr>
          <w:p w14:paraId="64874FFE" w14:textId="4B969373" w:rsidR="003D0FC9" w:rsidRPr="00F64DA6" w:rsidRDefault="003D0FC9" w:rsidP="006E5218">
            <w:r w:rsidRPr="00F64DA6">
              <w:t>Odniesienie modułowych efektów uczenia się do efektów inżynierskich (jeżeli dotyczy)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9C28C26" w14:textId="0DF27FDD" w:rsidR="003D0FC9" w:rsidRPr="00F64DA6" w:rsidRDefault="004D17A8" w:rsidP="003D0FC9">
            <w:pPr>
              <w:jc w:val="both"/>
            </w:pPr>
            <w:r>
              <w:t>W1-W2 – InzBH_W02</w:t>
            </w:r>
          </w:p>
          <w:p w14:paraId="678786E3" w14:textId="2A776DF2" w:rsidR="003D0FC9" w:rsidRPr="00F64DA6" w:rsidRDefault="004D17A8" w:rsidP="003D0FC9">
            <w:pPr>
              <w:jc w:val="both"/>
            </w:pPr>
            <w:r>
              <w:t>U1-U3 – InzBH_U02</w:t>
            </w:r>
            <w:bookmarkStart w:id="0" w:name="_GoBack"/>
            <w:bookmarkEnd w:id="0"/>
          </w:p>
          <w:p w14:paraId="3614A14F" w14:textId="77777777" w:rsidR="003D0FC9" w:rsidRPr="00F64DA6" w:rsidRDefault="003D0FC9" w:rsidP="006E5218">
            <w:pPr>
              <w:jc w:val="both"/>
              <w:rPr>
                <w:color w:val="000000" w:themeColor="text1"/>
              </w:rPr>
            </w:pPr>
          </w:p>
        </w:tc>
      </w:tr>
      <w:tr w:rsidR="006E5218" w:rsidRPr="00F64DA6" w14:paraId="245659BF" w14:textId="77777777" w:rsidTr="003305C4">
        <w:tc>
          <w:tcPr>
            <w:tcW w:w="3942" w:type="dxa"/>
            <w:shd w:val="clear" w:color="auto" w:fill="auto"/>
            <w:vAlign w:val="center"/>
          </w:tcPr>
          <w:p w14:paraId="2D4FCA1B" w14:textId="77777777" w:rsidR="006E5218" w:rsidRPr="00F64DA6" w:rsidRDefault="006E5218" w:rsidP="006E5218">
            <w:r w:rsidRPr="00F64DA6">
              <w:t xml:space="preserve">Wymagania wstępne i dodatkowe 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69094985" w14:textId="4149D79F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 xml:space="preserve">Fizjologia człowieka, anatomia człowieka </w:t>
            </w:r>
          </w:p>
        </w:tc>
      </w:tr>
      <w:tr w:rsidR="006E5218" w:rsidRPr="00F64DA6" w14:paraId="7E36AB51" w14:textId="77777777" w:rsidTr="003305C4">
        <w:tc>
          <w:tcPr>
            <w:tcW w:w="3942" w:type="dxa"/>
            <w:shd w:val="clear" w:color="auto" w:fill="auto"/>
            <w:vAlign w:val="center"/>
          </w:tcPr>
          <w:p w14:paraId="1FBDB37B" w14:textId="77777777" w:rsidR="006E5218" w:rsidRPr="00F64DA6" w:rsidRDefault="006E5218" w:rsidP="006E5218">
            <w:r w:rsidRPr="00F64DA6">
              <w:t xml:space="preserve">Treści programowe modułu </w:t>
            </w:r>
          </w:p>
          <w:p w14:paraId="4B9B26E9" w14:textId="77777777" w:rsidR="006E5218" w:rsidRPr="00F64DA6" w:rsidRDefault="006E5218" w:rsidP="006E5218"/>
        </w:tc>
        <w:tc>
          <w:tcPr>
            <w:tcW w:w="5344" w:type="dxa"/>
            <w:shd w:val="clear" w:color="auto" w:fill="auto"/>
            <w:vAlign w:val="center"/>
          </w:tcPr>
          <w:p w14:paraId="5661BA58" w14:textId="694C43F3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>Program nauczania obejmuje zagadnienia z anatomii, fizjologii i biochemii klinicznej. Uwzględnia aspekty analizy medycznej, epidemiologii, dietetyki, psychologii i immunohematologii. Zwraca uwagę na ich praktyczne zastosowanie w diagnostyce chorób. Uczy świadomej interpretacji zagrożeń. Wskazuje na konieczność wykonywania okresowych badań pracowników.</w:t>
            </w:r>
          </w:p>
        </w:tc>
      </w:tr>
      <w:tr w:rsidR="006E5218" w:rsidRPr="00F64DA6" w14:paraId="5404A17A" w14:textId="77777777" w:rsidTr="003305C4">
        <w:tc>
          <w:tcPr>
            <w:tcW w:w="3942" w:type="dxa"/>
            <w:shd w:val="clear" w:color="auto" w:fill="auto"/>
            <w:vAlign w:val="center"/>
          </w:tcPr>
          <w:p w14:paraId="12572B1B" w14:textId="77777777" w:rsidR="006E5218" w:rsidRPr="00F64DA6" w:rsidRDefault="006E5218" w:rsidP="006E5218">
            <w:r w:rsidRPr="00F64DA6">
              <w:t>Wykaz literatury podstawowej i uzupełniającej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2AA14DD" w14:textId="0E1C774D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>Literatura obowiązkowa:</w:t>
            </w:r>
          </w:p>
          <w:p w14:paraId="2940F6A9" w14:textId="4E7BE918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>Pawelski S., Diagnostyka laboratoryjna w hematologii, PZWL, 1977</w:t>
            </w:r>
          </w:p>
          <w:p w14:paraId="3C4371D5" w14:textId="77777777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>Stankiewicz W., Hematologia weterynaryjna, Państwowe Wydaw. Rolnicze i Leśne, 1973</w:t>
            </w:r>
          </w:p>
          <w:p w14:paraId="0272DA50" w14:textId="77777777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 xml:space="preserve">Dembińska-Kieć A., </w:t>
            </w:r>
            <w:proofErr w:type="spellStart"/>
            <w:r w:rsidRPr="00F64DA6">
              <w:rPr>
                <w:color w:val="000000" w:themeColor="text1"/>
              </w:rPr>
              <w:t>Naskalski</w:t>
            </w:r>
            <w:proofErr w:type="spellEnd"/>
            <w:r w:rsidRPr="00F64DA6">
              <w:rPr>
                <w:color w:val="000000" w:themeColor="text1"/>
              </w:rPr>
              <w:t xml:space="preserve"> J. W., Diagnostyka laboratoryjna z elementami biochemii klinicznej, Urban &amp; Partner, 2010</w:t>
            </w:r>
          </w:p>
          <w:p w14:paraId="0B2DF20D" w14:textId="77777777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>Murray R., Biochemia Harpera, Wydawnictwo PZWL, Warszawa 2012</w:t>
            </w:r>
          </w:p>
          <w:p w14:paraId="374E5AF8" w14:textId="5EC6419D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proofErr w:type="spellStart"/>
            <w:r w:rsidRPr="00F64DA6">
              <w:rPr>
                <w:color w:val="000000" w:themeColor="text1"/>
              </w:rPr>
              <w:t>Jakóbisiak</w:t>
            </w:r>
            <w:proofErr w:type="spellEnd"/>
            <w:r w:rsidRPr="00F64DA6">
              <w:rPr>
                <w:color w:val="000000" w:themeColor="text1"/>
              </w:rPr>
              <w:t xml:space="preserve"> M., Immunologia, Wydawnictwo PWN, Warszawa 2009</w:t>
            </w:r>
          </w:p>
        </w:tc>
      </w:tr>
      <w:tr w:rsidR="006E5218" w:rsidRPr="00F64DA6" w14:paraId="4C02F9EA" w14:textId="77777777" w:rsidTr="003305C4">
        <w:tc>
          <w:tcPr>
            <w:tcW w:w="3942" w:type="dxa"/>
            <w:shd w:val="clear" w:color="auto" w:fill="auto"/>
            <w:vAlign w:val="center"/>
          </w:tcPr>
          <w:p w14:paraId="50B3A6CD" w14:textId="77777777" w:rsidR="006E5218" w:rsidRPr="00F64DA6" w:rsidRDefault="006E5218" w:rsidP="006E5218">
            <w:r w:rsidRPr="00F64DA6">
              <w:t>Planowane formy/działania/metody dydaktyczne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1712EC61" w14:textId="01A772B2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 xml:space="preserve"> wykład, dyskusja, ćwiczenia praktyczne, wykonanie projektu, . </w:t>
            </w:r>
          </w:p>
        </w:tc>
      </w:tr>
      <w:tr w:rsidR="006E5218" w:rsidRPr="00F64DA6" w14:paraId="1C420D55" w14:textId="77777777" w:rsidTr="003305C4">
        <w:tc>
          <w:tcPr>
            <w:tcW w:w="3942" w:type="dxa"/>
            <w:shd w:val="clear" w:color="auto" w:fill="auto"/>
            <w:vAlign w:val="center"/>
          </w:tcPr>
          <w:p w14:paraId="293A5416" w14:textId="77777777" w:rsidR="006E5218" w:rsidRPr="00F64DA6" w:rsidRDefault="006E5218" w:rsidP="006E5218">
            <w:r w:rsidRPr="00F64DA6">
              <w:t>Sposoby weryfikacji oraz formy dokumentowania osiągniętych efektów uczenia się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8A4E73A" w14:textId="493816B2" w:rsidR="006E5218" w:rsidRPr="00F64DA6" w:rsidRDefault="006E5218" w:rsidP="006E5218">
            <w:pPr>
              <w:jc w:val="both"/>
              <w:rPr>
                <w:color w:val="000000" w:themeColor="text1"/>
                <w:u w:val="single"/>
              </w:rPr>
            </w:pPr>
            <w:r w:rsidRPr="00F64DA6">
              <w:rPr>
                <w:color w:val="000000" w:themeColor="text1"/>
                <w:u w:val="single"/>
              </w:rPr>
              <w:t>SPOSOBY WERYFIKACJI:</w:t>
            </w:r>
          </w:p>
          <w:p w14:paraId="7086C586" w14:textId="77777777" w:rsidR="006E5218" w:rsidRPr="00F64DA6" w:rsidRDefault="006E5218" w:rsidP="006E5218">
            <w:pPr>
              <w:jc w:val="both"/>
              <w:rPr>
                <w:color w:val="000000" w:themeColor="text1"/>
                <w:u w:val="single"/>
              </w:rPr>
            </w:pPr>
            <w:r w:rsidRPr="00F64DA6">
              <w:rPr>
                <w:color w:val="000000" w:themeColor="text1"/>
                <w:u w:val="single"/>
              </w:rPr>
              <w:t>SPOSOBY WERYFIKACJI:</w:t>
            </w:r>
          </w:p>
          <w:p w14:paraId="7D54AB20" w14:textId="77777777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 xml:space="preserve">W1, W2 – ocena dwóch sprawdzianów pisemnych w formie pytań otwartych (definicje do wyjaśnienia, rozwiązywanie zadań), </w:t>
            </w:r>
          </w:p>
          <w:p w14:paraId="3435D7CC" w14:textId="77777777" w:rsidR="006E5218" w:rsidRPr="00F64DA6" w:rsidRDefault="006E5218" w:rsidP="006E5218">
            <w:pPr>
              <w:pStyle w:val="Tekstkomentarza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4D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U1 – ocena zadania projektowego, ocena eksperymentu,  ocena sprawdzianów. </w:t>
            </w:r>
          </w:p>
          <w:p w14:paraId="10A4799D" w14:textId="77777777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lastRenderedPageBreak/>
              <w:t>K1, K2 – ocena udziału w dyskusji, wspólne dążenie do weryfikacji postawionych tez poprzez analizę danych, ocena sprawdzianu pisemnego; ocena pracy w grupie i pracy indywidualnej.</w:t>
            </w:r>
          </w:p>
          <w:p w14:paraId="06CDBFEE" w14:textId="77777777" w:rsidR="006E5218" w:rsidRPr="00F64DA6" w:rsidRDefault="006E5218" w:rsidP="006E5218">
            <w:pPr>
              <w:jc w:val="both"/>
              <w:rPr>
                <w:color w:val="000000" w:themeColor="text1"/>
                <w:u w:val="single"/>
              </w:rPr>
            </w:pPr>
          </w:p>
          <w:p w14:paraId="7EA5B198" w14:textId="07168A8C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  <w:u w:val="single"/>
              </w:rPr>
              <w:t>DOKUMENTOWANIE OSIĄGNIĘTYCH EFEKTÓW UCZENIA SIĘ</w:t>
            </w:r>
            <w:r w:rsidRPr="00F64DA6">
              <w:rPr>
                <w:color w:val="000000" w:themeColor="text1"/>
              </w:rPr>
              <w:t xml:space="preserve"> w formie: prace etapowe: zaliczenia cząstkowe/elementy projektów/ praca końcowa:  archiwizowanie w formie papierowej lub cyfrowej; dziennik prowadzącego</w:t>
            </w:r>
          </w:p>
          <w:p w14:paraId="576F73B7" w14:textId="77777777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</w:p>
          <w:p w14:paraId="26E64CA4" w14:textId="77777777" w:rsidR="006E5218" w:rsidRPr="00F64DA6" w:rsidRDefault="006E5218" w:rsidP="006E5218">
            <w:pPr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>Szczegółowe kryteria przy ocenie zaliczenia i prac kontrolnych</w:t>
            </w:r>
          </w:p>
          <w:p w14:paraId="6C16F795" w14:textId="77777777" w:rsidR="006E5218" w:rsidRPr="00F64DA6" w:rsidRDefault="006E5218" w:rsidP="006E5218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 xml:space="preserve">student wykazuje dostateczny (3,0) stopień wiedzy, umiejętności lub kompetencji, gdy uzyskuje od 51 do 60% sumy punktów określających maksymalny poziom wiedzy lub umiejętności z danego przedmiotu (odpowiednio, przy zaliczeniu cząstkowym – jego części), </w:t>
            </w:r>
          </w:p>
          <w:p w14:paraId="4824FE53" w14:textId="77777777" w:rsidR="006E5218" w:rsidRPr="00F64DA6" w:rsidRDefault="006E5218" w:rsidP="006E5218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 xml:space="preserve">student wykazuje dostateczny plus (3,5) stopień wiedzy, umiejętności lub kompetencji, gdy uzyskuje od 61 do 70% sumy punktów określających maksymalny poziom wiedzy lub umiejętności z danego przedmiotu (odpowiednio – jego części), </w:t>
            </w:r>
          </w:p>
          <w:p w14:paraId="4E3D7EE8" w14:textId="77777777" w:rsidR="006E5218" w:rsidRPr="00F64DA6" w:rsidRDefault="006E5218" w:rsidP="006E5218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color w:val="000000" w:themeColor="text1"/>
              </w:rPr>
            </w:pPr>
            <w:r w:rsidRPr="00F64DA6">
              <w:rPr>
                <w:color w:val="000000" w:themeColor="text1"/>
              </w:rPr>
              <w:t xml:space="preserve">student wykazuje dobry stopień (4,0) wiedzy, umiejętności lub kompetencji, gdy uzyskuje od 71 do 80% sumy punktów określających maksymalny poziom wiedzy lub umiejętności z danego przedmiotu (odpowiednio – jego części), </w:t>
            </w:r>
          </w:p>
          <w:p w14:paraId="283A726F" w14:textId="77777777" w:rsidR="006E5218" w:rsidRPr="00F64DA6" w:rsidRDefault="006E5218" w:rsidP="006E5218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F64DA6">
              <w:rPr>
                <w:color w:val="000000" w:themeColor="text1"/>
              </w:rPr>
              <w:t>student wykazuje plus dobry stopień (4,5) wiedzy, umiejętności lub kompetencji, gdy uzyskuje od 81 do 90% sumy punktów określających maksymalny poziom wiedzy lub umiejętności z danego przedmiotu (odpowiednio – jego części),</w:t>
            </w:r>
          </w:p>
          <w:p w14:paraId="6544D23B" w14:textId="720AFE7C" w:rsidR="006E5218" w:rsidRPr="00F64DA6" w:rsidRDefault="006E5218" w:rsidP="006E5218">
            <w:pPr>
              <w:pStyle w:val="Akapitzlist"/>
              <w:numPr>
                <w:ilvl w:val="0"/>
                <w:numId w:val="3"/>
              </w:numPr>
              <w:ind w:left="197" w:hanging="218"/>
              <w:jc w:val="both"/>
              <w:rPr>
                <w:rFonts w:eastAsiaTheme="minorHAnsi"/>
                <w:color w:val="000000" w:themeColor="text1"/>
              </w:rPr>
            </w:pPr>
            <w:r w:rsidRPr="00F64DA6">
              <w:rPr>
                <w:color w:val="000000" w:themeColor="text1"/>
              </w:rPr>
              <w:t>student wykazuje bardzo dobry stopień (5,0) wiedzy, umiejętności lub kompetencji, gdy uzyskuje powyżej 91% sumy punktów określających maksymalny poziom wiedzy lub umiejętności z danego przedmiotu (odpowiednio – jego części).</w:t>
            </w:r>
          </w:p>
        </w:tc>
      </w:tr>
      <w:tr w:rsidR="006E5218" w:rsidRPr="00F64DA6" w14:paraId="0AA62E9F" w14:textId="77777777" w:rsidTr="003305C4">
        <w:tc>
          <w:tcPr>
            <w:tcW w:w="3942" w:type="dxa"/>
            <w:shd w:val="clear" w:color="auto" w:fill="auto"/>
            <w:vAlign w:val="center"/>
          </w:tcPr>
          <w:p w14:paraId="2D063EEF" w14:textId="77777777" w:rsidR="006E5218" w:rsidRPr="00F64DA6" w:rsidRDefault="006E5218" w:rsidP="006E5218">
            <w:r w:rsidRPr="00F64DA6">
              <w:lastRenderedPageBreak/>
              <w:t>Elementy i wagi mające wpływ na ocenę końcową</w:t>
            </w:r>
          </w:p>
          <w:p w14:paraId="63A9347C" w14:textId="77777777" w:rsidR="006E5218" w:rsidRPr="00F64DA6" w:rsidRDefault="006E5218" w:rsidP="006E5218"/>
          <w:p w14:paraId="6D4F54D5" w14:textId="77777777" w:rsidR="006E5218" w:rsidRPr="00F64DA6" w:rsidRDefault="006E5218" w:rsidP="006E5218"/>
        </w:tc>
        <w:tc>
          <w:tcPr>
            <w:tcW w:w="5344" w:type="dxa"/>
            <w:shd w:val="clear" w:color="auto" w:fill="auto"/>
            <w:vAlign w:val="center"/>
          </w:tcPr>
          <w:p w14:paraId="3C54574E" w14:textId="0788745F" w:rsidR="006E5218" w:rsidRPr="00F64DA6" w:rsidRDefault="006E5218" w:rsidP="006E5218">
            <w:pPr>
              <w:jc w:val="both"/>
              <w:rPr>
                <w:iCs/>
                <w:color w:val="000000" w:themeColor="text1"/>
              </w:rPr>
            </w:pPr>
            <w:r w:rsidRPr="00F64DA6">
              <w:rPr>
                <w:iCs/>
                <w:color w:val="000000" w:themeColor="text1"/>
              </w:rPr>
              <w:t>Ocena końcowa = 50 % średnia arytmetyczna z ocen uzyskanych na ćwiczeniach (oceny sprawdzianów oraz oceny aktywności – pracy grupowej/indywidualnej, oceny z referatu, itp. ) + 50% ocena z egzaminu. Warunki te są przedstawiane na pierwszych zajęciach z modułu.</w:t>
            </w:r>
          </w:p>
        </w:tc>
      </w:tr>
      <w:tr w:rsidR="006E5218" w:rsidRPr="00F64DA6" w14:paraId="1DD1159E" w14:textId="77777777" w:rsidTr="003305C4">
        <w:trPr>
          <w:trHeight w:val="2324"/>
        </w:trPr>
        <w:tc>
          <w:tcPr>
            <w:tcW w:w="3942" w:type="dxa"/>
            <w:shd w:val="clear" w:color="auto" w:fill="auto"/>
            <w:vAlign w:val="center"/>
          </w:tcPr>
          <w:p w14:paraId="245730BA" w14:textId="77777777" w:rsidR="006E5218" w:rsidRPr="00F64DA6" w:rsidRDefault="006E5218" w:rsidP="006E5218">
            <w:pPr>
              <w:jc w:val="both"/>
            </w:pPr>
            <w:r w:rsidRPr="00F64DA6">
              <w:lastRenderedPageBreak/>
              <w:t>Bilans punktów ECTS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020A9390" w14:textId="77777777" w:rsidR="006E5218" w:rsidRPr="00F64DA6" w:rsidRDefault="006E5218" w:rsidP="006E5218">
            <w:pPr>
              <w:jc w:val="both"/>
              <w:rPr>
                <w:iCs/>
              </w:rPr>
            </w:pPr>
            <w:r w:rsidRPr="00F64DA6">
              <w:rPr>
                <w:iCs/>
              </w:rPr>
              <w:t xml:space="preserve">Formy zajęć: </w:t>
            </w:r>
          </w:p>
          <w:p w14:paraId="6ACB9DDA" w14:textId="77777777" w:rsidR="006E5218" w:rsidRPr="00F64DA6" w:rsidRDefault="006E5218" w:rsidP="006E5218">
            <w:pPr>
              <w:jc w:val="both"/>
              <w:rPr>
                <w:iCs/>
              </w:rPr>
            </w:pPr>
            <w:r w:rsidRPr="00F64DA6">
              <w:rPr>
                <w:iCs/>
              </w:rPr>
              <w:t>Kontaktowe</w:t>
            </w:r>
          </w:p>
          <w:p w14:paraId="2073AA49" w14:textId="77777777" w:rsidR="006E5218" w:rsidRPr="00F64DA6" w:rsidRDefault="006E5218" w:rsidP="006E5218">
            <w:pPr>
              <w:pStyle w:val="Akapitzlist"/>
              <w:numPr>
                <w:ilvl w:val="0"/>
                <w:numId w:val="6"/>
              </w:numPr>
              <w:ind w:left="480"/>
              <w:jc w:val="both"/>
              <w:rPr>
                <w:iCs/>
              </w:rPr>
            </w:pPr>
            <w:r w:rsidRPr="00F64DA6">
              <w:rPr>
                <w:iCs/>
              </w:rPr>
              <w:t xml:space="preserve">wykład (15 godz./0,6 ECTS), </w:t>
            </w:r>
          </w:p>
          <w:p w14:paraId="10588744" w14:textId="77777777" w:rsidR="006E5218" w:rsidRPr="00F64DA6" w:rsidRDefault="006E5218" w:rsidP="006E5218">
            <w:pPr>
              <w:pStyle w:val="Akapitzlist"/>
              <w:numPr>
                <w:ilvl w:val="0"/>
                <w:numId w:val="6"/>
              </w:numPr>
              <w:ind w:left="480"/>
              <w:jc w:val="both"/>
              <w:rPr>
                <w:iCs/>
              </w:rPr>
            </w:pPr>
            <w:r w:rsidRPr="00F64DA6">
              <w:rPr>
                <w:iCs/>
              </w:rPr>
              <w:t xml:space="preserve">ćwiczenia (30 godz./1,2 ECTS), </w:t>
            </w:r>
          </w:p>
          <w:p w14:paraId="2F49FFE4" w14:textId="77777777" w:rsidR="006E5218" w:rsidRPr="00F64DA6" w:rsidRDefault="006E5218" w:rsidP="006E5218">
            <w:pPr>
              <w:pStyle w:val="Akapitzlist"/>
              <w:numPr>
                <w:ilvl w:val="0"/>
                <w:numId w:val="6"/>
              </w:numPr>
              <w:ind w:left="480"/>
              <w:jc w:val="both"/>
              <w:rPr>
                <w:iCs/>
              </w:rPr>
            </w:pPr>
            <w:r w:rsidRPr="00F64DA6">
              <w:rPr>
                <w:iCs/>
              </w:rPr>
              <w:t xml:space="preserve">konsultacje (3 godz./0,12 ECTS), </w:t>
            </w:r>
          </w:p>
          <w:p w14:paraId="751E8B9B" w14:textId="1D833675" w:rsidR="006E5218" w:rsidRPr="00F64DA6" w:rsidRDefault="006E5218" w:rsidP="006E5218">
            <w:pPr>
              <w:jc w:val="both"/>
              <w:rPr>
                <w:iCs/>
              </w:rPr>
            </w:pPr>
            <w:r w:rsidRPr="00F64DA6">
              <w:rPr>
                <w:iCs/>
              </w:rPr>
              <w:t>Łącznie – 48 godz./1,92 ECTS</w:t>
            </w:r>
          </w:p>
          <w:p w14:paraId="2FDEB4B8" w14:textId="77777777" w:rsidR="006E5218" w:rsidRPr="00F64DA6" w:rsidRDefault="006E5218" w:rsidP="006E5218">
            <w:pPr>
              <w:jc w:val="both"/>
              <w:rPr>
                <w:iCs/>
              </w:rPr>
            </w:pPr>
            <w:proofErr w:type="spellStart"/>
            <w:r w:rsidRPr="00F64DA6">
              <w:rPr>
                <w:iCs/>
              </w:rPr>
              <w:t>Niekontaktowe</w:t>
            </w:r>
            <w:proofErr w:type="spellEnd"/>
          </w:p>
          <w:p w14:paraId="0DC7B09E" w14:textId="77777777" w:rsidR="006E5218" w:rsidRPr="00F64DA6" w:rsidRDefault="006E5218" w:rsidP="006E5218">
            <w:pPr>
              <w:pStyle w:val="Akapitzlist"/>
              <w:numPr>
                <w:ilvl w:val="0"/>
                <w:numId w:val="7"/>
              </w:numPr>
              <w:ind w:left="480"/>
              <w:jc w:val="both"/>
              <w:rPr>
                <w:iCs/>
              </w:rPr>
            </w:pPr>
            <w:r w:rsidRPr="00F64DA6">
              <w:rPr>
                <w:iCs/>
              </w:rPr>
              <w:t>przygotowanie do zajęć (15 godz./0,6 ECTS),</w:t>
            </w:r>
          </w:p>
          <w:p w14:paraId="40CF5299" w14:textId="77777777" w:rsidR="006E5218" w:rsidRPr="00F64DA6" w:rsidRDefault="006E5218" w:rsidP="006E5218">
            <w:pPr>
              <w:pStyle w:val="Akapitzlist"/>
              <w:numPr>
                <w:ilvl w:val="0"/>
                <w:numId w:val="7"/>
              </w:numPr>
              <w:ind w:left="480"/>
              <w:jc w:val="both"/>
              <w:rPr>
                <w:iCs/>
              </w:rPr>
            </w:pPr>
            <w:r w:rsidRPr="00F64DA6">
              <w:rPr>
                <w:iCs/>
              </w:rPr>
              <w:t>studiowanie literatury (17 godz./0,68 ECTS),</w:t>
            </w:r>
          </w:p>
          <w:p w14:paraId="6CA09012" w14:textId="77777777" w:rsidR="006E5218" w:rsidRPr="00F64DA6" w:rsidRDefault="006E5218" w:rsidP="006E5218">
            <w:pPr>
              <w:pStyle w:val="Akapitzlist"/>
              <w:numPr>
                <w:ilvl w:val="0"/>
                <w:numId w:val="7"/>
              </w:numPr>
              <w:ind w:left="480"/>
              <w:jc w:val="both"/>
              <w:rPr>
                <w:iCs/>
              </w:rPr>
            </w:pPr>
            <w:r w:rsidRPr="00F64DA6">
              <w:rPr>
                <w:iCs/>
              </w:rPr>
              <w:t>przygotowanie do zaliczenia (20 godz./0,8 ECTS),</w:t>
            </w:r>
          </w:p>
          <w:p w14:paraId="66E2973E" w14:textId="66C3F03B" w:rsidR="006E5218" w:rsidRPr="00F64DA6" w:rsidRDefault="006E5218" w:rsidP="006E5218">
            <w:pPr>
              <w:ind w:left="120"/>
              <w:jc w:val="both"/>
              <w:rPr>
                <w:iCs/>
                <w:color w:val="000000" w:themeColor="text1"/>
              </w:rPr>
            </w:pPr>
            <w:r w:rsidRPr="00F64DA6">
              <w:rPr>
                <w:iCs/>
              </w:rPr>
              <w:t>Łącznie 52 godz./2,08 ECTS</w:t>
            </w:r>
          </w:p>
        </w:tc>
      </w:tr>
      <w:tr w:rsidR="006E5218" w:rsidRPr="00F64DA6" w14:paraId="1172D0F6" w14:textId="77777777" w:rsidTr="003305C4">
        <w:trPr>
          <w:trHeight w:val="718"/>
        </w:trPr>
        <w:tc>
          <w:tcPr>
            <w:tcW w:w="3942" w:type="dxa"/>
            <w:shd w:val="clear" w:color="auto" w:fill="auto"/>
            <w:vAlign w:val="center"/>
          </w:tcPr>
          <w:p w14:paraId="52888F6B" w14:textId="339C1B35" w:rsidR="006E5218" w:rsidRPr="00F64DA6" w:rsidRDefault="006E5218" w:rsidP="006E5218">
            <w:r w:rsidRPr="00F64DA6">
              <w:t>Nakład pracy związany z zajęciami wymagającymi bezpośredniego udziału nauczyciela akademickiego</w:t>
            </w:r>
          </w:p>
        </w:tc>
        <w:tc>
          <w:tcPr>
            <w:tcW w:w="5344" w:type="dxa"/>
            <w:shd w:val="clear" w:color="auto" w:fill="auto"/>
            <w:vAlign w:val="center"/>
          </w:tcPr>
          <w:p w14:paraId="5BF2ECC9" w14:textId="193A25FC" w:rsidR="006E5218" w:rsidRPr="00F64DA6" w:rsidRDefault="006E5218" w:rsidP="006E5218">
            <w:pPr>
              <w:jc w:val="both"/>
              <w:rPr>
                <w:iCs/>
                <w:color w:val="000000" w:themeColor="text1"/>
              </w:rPr>
            </w:pPr>
            <w:r w:rsidRPr="00F64DA6">
              <w:rPr>
                <w:iCs/>
                <w:color w:val="000000" w:themeColor="text1"/>
              </w:rPr>
              <w:t xml:space="preserve">udział w wykładach – 15 godz.; w ćwiczeniach – 30 godz.; konsultacjach – 3 godz.; </w:t>
            </w:r>
          </w:p>
        </w:tc>
      </w:tr>
    </w:tbl>
    <w:p w14:paraId="530EE19C" w14:textId="470E0488" w:rsidR="00023A99" w:rsidRPr="003305C4" w:rsidRDefault="00023A99" w:rsidP="00023A99">
      <w:pPr>
        <w:rPr>
          <w:sz w:val="22"/>
          <w:szCs w:val="22"/>
        </w:rPr>
      </w:pPr>
    </w:p>
    <w:p w14:paraId="7CF1FC4E" w14:textId="77777777" w:rsidR="00023A99" w:rsidRPr="003305C4" w:rsidRDefault="00023A99" w:rsidP="00023A99">
      <w:pPr>
        <w:rPr>
          <w:sz w:val="22"/>
          <w:szCs w:val="22"/>
        </w:rPr>
      </w:pPr>
    </w:p>
    <w:p w14:paraId="5955A7B3" w14:textId="77777777" w:rsidR="00F82B32" w:rsidRPr="003305C4" w:rsidRDefault="00F82B32">
      <w:pPr>
        <w:rPr>
          <w:sz w:val="22"/>
          <w:szCs w:val="22"/>
        </w:rPr>
      </w:pPr>
    </w:p>
    <w:sectPr w:rsidR="00F82B32" w:rsidRPr="003305C4" w:rsidSect="00614223">
      <w:footerReference w:type="default" r:id="rId8"/>
      <w:pgSz w:w="11906" w:h="16838"/>
      <w:pgMar w:top="1418" w:right="1418" w:bottom="107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7BFF0" w14:textId="77777777" w:rsidR="00646993" w:rsidRDefault="00646993" w:rsidP="008D17BD">
      <w:r>
        <w:separator/>
      </w:r>
    </w:p>
  </w:endnote>
  <w:endnote w:type="continuationSeparator" w:id="0">
    <w:p w14:paraId="3231502F" w14:textId="77777777" w:rsidR="00646993" w:rsidRDefault="00646993" w:rsidP="008D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536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0930540" w14:textId="7DE24D3B" w:rsidR="00992D17" w:rsidRDefault="00992D17">
            <w:pPr>
              <w:pStyle w:val="Stopka"/>
              <w:jc w:val="right"/>
            </w:pP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PAGE</w:instrText>
            </w:r>
            <w:r w:rsidRPr="00992D17">
              <w:rPr>
                <w:bCs/>
              </w:rPr>
              <w:fldChar w:fldCharType="separate"/>
            </w:r>
            <w:r w:rsidR="004D17A8">
              <w:rPr>
                <w:bCs/>
                <w:noProof/>
              </w:rPr>
              <w:t>3</w:t>
            </w:r>
            <w:r w:rsidRPr="00992D17">
              <w:rPr>
                <w:bCs/>
              </w:rPr>
              <w:fldChar w:fldCharType="end"/>
            </w:r>
            <w:r w:rsidRPr="00992D17">
              <w:rPr>
                <w:bCs/>
              </w:rPr>
              <w:t>/</w:t>
            </w:r>
            <w:r w:rsidRPr="00992D17">
              <w:rPr>
                <w:bCs/>
              </w:rPr>
              <w:fldChar w:fldCharType="begin"/>
            </w:r>
            <w:r w:rsidRPr="00992D17">
              <w:rPr>
                <w:bCs/>
              </w:rPr>
              <w:instrText>NUMPAGES</w:instrText>
            </w:r>
            <w:r w:rsidRPr="00992D17">
              <w:rPr>
                <w:bCs/>
              </w:rPr>
              <w:fldChar w:fldCharType="separate"/>
            </w:r>
            <w:r w:rsidR="004D17A8">
              <w:rPr>
                <w:bCs/>
                <w:noProof/>
              </w:rPr>
              <w:t>4</w:t>
            </w:r>
            <w:r w:rsidRPr="00992D17">
              <w:rPr>
                <w:bCs/>
              </w:rPr>
              <w:fldChar w:fldCharType="end"/>
            </w:r>
          </w:p>
        </w:sdtContent>
      </w:sdt>
    </w:sdtContent>
  </w:sdt>
  <w:p w14:paraId="233D0E51" w14:textId="77777777" w:rsidR="008D17BD" w:rsidRDefault="008D17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76BEC" w14:textId="77777777" w:rsidR="00646993" w:rsidRDefault="00646993" w:rsidP="008D17BD">
      <w:r>
        <w:separator/>
      </w:r>
    </w:p>
  </w:footnote>
  <w:footnote w:type="continuationSeparator" w:id="0">
    <w:p w14:paraId="40ACDB45" w14:textId="77777777" w:rsidR="00646993" w:rsidRDefault="00646993" w:rsidP="008D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6B00"/>
    <w:multiLevelType w:val="hybridMultilevel"/>
    <w:tmpl w:val="79E2497A"/>
    <w:lvl w:ilvl="0" w:tplc="04150001">
      <w:start w:val="1"/>
      <w:numFmt w:val="bullet"/>
      <w:lvlText w:val=""/>
      <w:lvlJc w:val="left"/>
      <w:pPr>
        <w:ind w:left="5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7" w:hanging="360"/>
      </w:pPr>
      <w:rPr>
        <w:rFonts w:ascii="Wingdings" w:hAnsi="Wingdings" w:hint="default"/>
      </w:rPr>
    </w:lvl>
  </w:abstractNum>
  <w:abstractNum w:abstractNumId="1" w15:restartNumberingAfterBreak="0">
    <w:nsid w:val="28B304E9"/>
    <w:multiLevelType w:val="hybridMultilevel"/>
    <w:tmpl w:val="36B2B990"/>
    <w:lvl w:ilvl="0" w:tplc="BCE88E2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883ADA"/>
    <w:multiLevelType w:val="hybridMultilevel"/>
    <w:tmpl w:val="6AE8C214"/>
    <w:lvl w:ilvl="0" w:tplc="EFB8F6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E3882"/>
    <w:multiLevelType w:val="hybridMultilevel"/>
    <w:tmpl w:val="5504DA12"/>
    <w:lvl w:ilvl="0" w:tplc="9AA64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99"/>
    <w:rsid w:val="000077C6"/>
    <w:rsid w:val="00023A99"/>
    <w:rsid w:val="0005376E"/>
    <w:rsid w:val="000A3716"/>
    <w:rsid w:val="000B0479"/>
    <w:rsid w:val="000D45C2"/>
    <w:rsid w:val="000F4E90"/>
    <w:rsid w:val="000F587A"/>
    <w:rsid w:val="00101F00"/>
    <w:rsid w:val="00120398"/>
    <w:rsid w:val="00123155"/>
    <w:rsid w:val="001F2770"/>
    <w:rsid w:val="001F4E9C"/>
    <w:rsid w:val="00206860"/>
    <w:rsid w:val="00207270"/>
    <w:rsid w:val="002202F5"/>
    <w:rsid w:val="002249F9"/>
    <w:rsid w:val="00250228"/>
    <w:rsid w:val="00271DE5"/>
    <w:rsid w:val="002766E8"/>
    <w:rsid w:val="002835BD"/>
    <w:rsid w:val="00283678"/>
    <w:rsid w:val="002E256F"/>
    <w:rsid w:val="002E4043"/>
    <w:rsid w:val="0032739E"/>
    <w:rsid w:val="003305C4"/>
    <w:rsid w:val="00371ECD"/>
    <w:rsid w:val="003853C3"/>
    <w:rsid w:val="003B32BF"/>
    <w:rsid w:val="003D0FC9"/>
    <w:rsid w:val="003D4C51"/>
    <w:rsid w:val="00421227"/>
    <w:rsid w:val="00457679"/>
    <w:rsid w:val="004925E4"/>
    <w:rsid w:val="004B189D"/>
    <w:rsid w:val="004D17A8"/>
    <w:rsid w:val="004D3DDF"/>
    <w:rsid w:val="004E014A"/>
    <w:rsid w:val="00500899"/>
    <w:rsid w:val="0057184E"/>
    <w:rsid w:val="005869D2"/>
    <w:rsid w:val="00586CEC"/>
    <w:rsid w:val="00592A99"/>
    <w:rsid w:val="00614223"/>
    <w:rsid w:val="0063487A"/>
    <w:rsid w:val="00646993"/>
    <w:rsid w:val="006742BC"/>
    <w:rsid w:val="006D7D6A"/>
    <w:rsid w:val="006E5218"/>
    <w:rsid w:val="006E62D3"/>
    <w:rsid w:val="006F3573"/>
    <w:rsid w:val="007B768F"/>
    <w:rsid w:val="007C764E"/>
    <w:rsid w:val="0083437D"/>
    <w:rsid w:val="00850B52"/>
    <w:rsid w:val="0089357C"/>
    <w:rsid w:val="00893CD3"/>
    <w:rsid w:val="00896BC2"/>
    <w:rsid w:val="008A5F90"/>
    <w:rsid w:val="008B16C4"/>
    <w:rsid w:val="008D0B7E"/>
    <w:rsid w:val="008D13BA"/>
    <w:rsid w:val="008D17BD"/>
    <w:rsid w:val="009021B3"/>
    <w:rsid w:val="0092197E"/>
    <w:rsid w:val="00980EBB"/>
    <w:rsid w:val="0098654A"/>
    <w:rsid w:val="00991350"/>
    <w:rsid w:val="00992D17"/>
    <w:rsid w:val="009C2572"/>
    <w:rsid w:val="009E49CA"/>
    <w:rsid w:val="00A02BD0"/>
    <w:rsid w:val="00A25D78"/>
    <w:rsid w:val="00A27747"/>
    <w:rsid w:val="00A41375"/>
    <w:rsid w:val="00A6673A"/>
    <w:rsid w:val="00AA02DB"/>
    <w:rsid w:val="00AC0AAF"/>
    <w:rsid w:val="00AD6F61"/>
    <w:rsid w:val="00B32323"/>
    <w:rsid w:val="00B400C0"/>
    <w:rsid w:val="00B472AA"/>
    <w:rsid w:val="00B742CE"/>
    <w:rsid w:val="00BA2E91"/>
    <w:rsid w:val="00BF20FE"/>
    <w:rsid w:val="00BF5620"/>
    <w:rsid w:val="00C4051E"/>
    <w:rsid w:val="00CA0A3C"/>
    <w:rsid w:val="00CC0F98"/>
    <w:rsid w:val="00CD3047"/>
    <w:rsid w:val="00CD423D"/>
    <w:rsid w:val="00CF2E35"/>
    <w:rsid w:val="00D00A94"/>
    <w:rsid w:val="00D113AD"/>
    <w:rsid w:val="00D2747A"/>
    <w:rsid w:val="00D552F8"/>
    <w:rsid w:val="00DC1DF4"/>
    <w:rsid w:val="00DC2364"/>
    <w:rsid w:val="00E07FEE"/>
    <w:rsid w:val="00E54369"/>
    <w:rsid w:val="00E832C8"/>
    <w:rsid w:val="00E84533"/>
    <w:rsid w:val="00E91A0F"/>
    <w:rsid w:val="00E93CA9"/>
    <w:rsid w:val="00E97104"/>
    <w:rsid w:val="00EC3848"/>
    <w:rsid w:val="00EE7227"/>
    <w:rsid w:val="00EF2FD9"/>
    <w:rsid w:val="00EF3A72"/>
    <w:rsid w:val="00F02DA4"/>
    <w:rsid w:val="00F02E5D"/>
    <w:rsid w:val="00F2295C"/>
    <w:rsid w:val="00F46BE5"/>
    <w:rsid w:val="00F53C5D"/>
    <w:rsid w:val="00F64DA6"/>
    <w:rsid w:val="00F760B4"/>
    <w:rsid w:val="00F82B32"/>
    <w:rsid w:val="00FB0556"/>
    <w:rsid w:val="00FB1267"/>
    <w:rsid w:val="00FD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E52B"/>
  <w15:docId w15:val="{825BA51F-9602-4370-A81F-D4ADE955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17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D3047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83437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437D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295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95C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29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9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95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2E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2E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2E91"/>
    <w:rPr>
      <w:vertAlign w:val="superscript"/>
    </w:rPr>
  </w:style>
  <w:style w:type="paragraph" w:styleId="Poprawka">
    <w:name w:val="Revision"/>
    <w:hidden/>
    <w:uiPriority w:val="99"/>
    <w:semiHidden/>
    <w:rsid w:val="00D00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5BFE-C8ED-4B2C-9E83-337153CB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Użytkownik systemu Windows</cp:lastModifiedBy>
  <cp:revision>6</cp:revision>
  <cp:lastPrinted>2021-07-01T08:34:00Z</cp:lastPrinted>
  <dcterms:created xsi:type="dcterms:W3CDTF">2024-02-05T17:49:00Z</dcterms:created>
  <dcterms:modified xsi:type="dcterms:W3CDTF">2024-09-10T08:24:00Z</dcterms:modified>
</cp:coreProperties>
</file>