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E68D4" w14:textId="77777777" w:rsidR="008D17BD" w:rsidRPr="00F02E5D" w:rsidRDefault="00B400C0" w:rsidP="00992D17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14:paraId="2A18534D" w14:textId="77777777"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14:paraId="024072FD" w14:textId="77777777"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DF6DB4" w14:paraId="78864377" w14:textId="77777777" w:rsidTr="00023A99">
        <w:tc>
          <w:tcPr>
            <w:tcW w:w="3942" w:type="dxa"/>
            <w:shd w:val="clear" w:color="auto" w:fill="auto"/>
          </w:tcPr>
          <w:p w14:paraId="7D88085B" w14:textId="77777777" w:rsidR="00023A99" w:rsidRPr="00DF6DB4" w:rsidRDefault="00F02E5D" w:rsidP="004C0125">
            <w:r w:rsidRPr="00DF6DB4">
              <w:t>Nazwa kierunku</w:t>
            </w:r>
            <w:r w:rsidR="00EC3848" w:rsidRPr="00DF6DB4">
              <w:t xml:space="preserve"> </w:t>
            </w:r>
            <w:r w:rsidR="00023A99" w:rsidRPr="00DF6DB4">
              <w:t>studiów</w:t>
            </w:r>
            <w:r w:rsidR="00B400C0" w:rsidRPr="00DF6DB4">
              <w:t xml:space="preserve"> </w:t>
            </w:r>
          </w:p>
          <w:p w14:paraId="66B590F5" w14:textId="77777777" w:rsidR="00B400C0" w:rsidRPr="00DF6DB4" w:rsidRDefault="00B400C0" w:rsidP="004C0125"/>
        </w:tc>
        <w:tc>
          <w:tcPr>
            <w:tcW w:w="5344" w:type="dxa"/>
            <w:shd w:val="clear" w:color="auto" w:fill="auto"/>
          </w:tcPr>
          <w:p w14:paraId="5E86E82F" w14:textId="77777777" w:rsidR="00023A99" w:rsidRPr="00DF6DB4" w:rsidRDefault="00BF1306" w:rsidP="004C0125">
            <w:r w:rsidRPr="00DF6DB4">
              <w:t>Bezpieczeństwo i Higiena Pracy</w:t>
            </w:r>
          </w:p>
        </w:tc>
      </w:tr>
      <w:tr w:rsidR="00023A99" w:rsidRPr="00044446" w14:paraId="3D94C3B2" w14:textId="77777777" w:rsidTr="00023A99">
        <w:tc>
          <w:tcPr>
            <w:tcW w:w="3942" w:type="dxa"/>
            <w:shd w:val="clear" w:color="auto" w:fill="auto"/>
          </w:tcPr>
          <w:p w14:paraId="51D717C0" w14:textId="77777777" w:rsidR="00023A99" w:rsidRPr="00DF6DB4" w:rsidRDefault="0092197E" w:rsidP="004C0125">
            <w:r w:rsidRPr="00DF6DB4">
              <w:t>Nazwa modułu</w:t>
            </w:r>
            <w:r w:rsidR="00023A99" w:rsidRPr="00DF6DB4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43B713C4" w14:textId="77777777" w:rsidR="00023A99" w:rsidRPr="00DF6DB4" w:rsidRDefault="003F0D6D" w:rsidP="004C0125">
            <w:pPr>
              <w:rPr>
                <w:color w:val="000000"/>
              </w:rPr>
            </w:pPr>
            <w:r w:rsidRPr="00DF6DB4">
              <w:rPr>
                <w:color w:val="000000"/>
              </w:rPr>
              <w:t>BHP w rolnictwie i przetwórstwie rolno-spożywczym.</w:t>
            </w:r>
          </w:p>
          <w:p w14:paraId="617E1912" w14:textId="77777777" w:rsidR="003F0D6D" w:rsidRPr="00DF6DB4" w:rsidRDefault="003F0D6D" w:rsidP="004C0125">
            <w:pPr>
              <w:rPr>
                <w:lang w:val="en-US"/>
              </w:rPr>
            </w:pPr>
            <w:r w:rsidRPr="00DF6DB4">
              <w:rPr>
                <w:rStyle w:val="hps"/>
                <w:i/>
                <w:color w:val="000000"/>
                <w:lang w:val="en-US"/>
              </w:rPr>
              <w:t>Health and safety</w:t>
            </w:r>
            <w:r w:rsidRPr="00DF6DB4">
              <w:rPr>
                <w:i/>
                <w:color w:val="000000"/>
                <w:lang w:val="en-US"/>
              </w:rPr>
              <w:t xml:space="preserve"> </w:t>
            </w:r>
            <w:r w:rsidRPr="00DF6DB4">
              <w:rPr>
                <w:rStyle w:val="hps"/>
                <w:i/>
                <w:color w:val="000000"/>
                <w:lang w:val="en-US"/>
              </w:rPr>
              <w:t>in agriculture and</w:t>
            </w:r>
            <w:r w:rsidRPr="00DF6DB4">
              <w:rPr>
                <w:i/>
                <w:color w:val="000000"/>
                <w:lang w:val="en-US"/>
              </w:rPr>
              <w:t xml:space="preserve"> </w:t>
            </w:r>
            <w:r w:rsidRPr="00DF6DB4">
              <w:rPr>
                <w:rStyle w:val="hps"/>
                <w:i/>
                <w:color w:val="000000"/>
                <w:lang w:val="en-US"/>
              </w:rPr>
              <w:t>food processing.</w:t>
            </w:r>
          </w:p>
        </w:tc>
      </w:tr>
      <w:tr w:rsidR="00023A99" w:rsidRPr="00DF6DB4" w14:paraId="03FB64E5" w14:textId="77777777" w:rsidTr="00023A99">
        <w:tc>
          <w:tcPr>
            <w:tcW w:w="3942" w:type="dxa"/>
            <w:shd w:val="clear" w:color="auto" w:fill="auto"/>
          </w:tcPr>
          <w:p w14:paraId="0F245CAF" w14:textId="77777777" w:rsidR="00023A99" w:rsidRPr="00DF6DB4" w:rsidRDefault="00023A99" w:rsidP="004C0125">
            <w:r w:rsidRPr="00DF6DB4">
              <w:t>Język wykładowy</w:t>
            </w:r>
            <w:r w:rsidR="00B400C0" w:rsidRPr="00DF6DB4">
              <w:t xml:space="preserve"> </w:t>
            </w:r>
          </w:p>
          <w:p w14:paraId="010450F6" w14:textId="77777777" w:rsidR="00B400C0" w:rsidRPr="00DF6DB4" w:rsidRDefault="00B400C0" w:rsidP="004C0125"/>
        </w:tc>
        <w:tc>
          <w:tcPr>
            <w:tcW w:w="5344" w:type="dxa"/>
            <w:shd w:val="clear" w:color="auto" w:fill="auto"/>
          </w:tcPr>
          <w:p w14:paraId="1DA2A75D" w14:textId="77777777" w:rsidR="00023A99" w:rsidRPr="00DF6DB4" w:rsidRDefault="00BF1306" w:rsidP="004C0125">
            <w:r w:rsidRPr="00DF6DB4">
              <w:t>j. polski</w:t>
            </w:r>
          </w:p>
        </w:tc>
      </w:tr>
      <w:tr w:rsidR="00023A99" w:rsidRPr="00DF6DB4" w14:paraId="3ADDC0E5" w14:textId="77777777" w:rsidTr="00023A99">
        <w:tc>
          <w:tcPr>
            <w:tcW w:w="3942" w:type="dxa"/>
            <w:shd w:val="clear" w:color="auto" w:fill="auto"/>
          </w:tcPr>
          <w:p w14:paraId="5E5A5675" w14:textId="77777777" w:rsidR="00023A99" w:rsidRPr="00DF6DB4" w:rsidRDefault="00023A99" w:rsidP="004C0125">
            <w:pPr>
              <w:autoSpaceDE w:val="0"/>
              <w:autoSpaceDN w:val="0"/>
              <w:adjustRightInd w:val="0"/>
            </w:pPr>
            <w:r w:rsidRPr="00DF6DB4">
              <w:t>Rodzaj modułu</w:t>
            </w:r>
            <w:r w:rsidR="00206860" w:rsidRPr="00DF6DB4">
              <w:t xml:space="preserve"> </w:t>
            </w:r>
          </w:p>
          <w:p w14:paraId="4AB39D9C" w14:textId="77777777" w:rsidR="00023A99" w:rsidRPr="00DF6DB4" w:rsidRDefault="00023A99" w:rsidP="004C0125"/>
        </w:tc>
        <w:tc>
          <w:tcPr>
            <w:tcW w:w="5344" w:type="dxa"/>
            <w:shd w:val="clear" w:color="auto" w:fill="auto"/>
          </w:tcPr>
          <w:p w14:paraId="67B23665" w14:textId="77777777" w:rsidR="00023A99" w:rsidRPr="00DF6DB4" w:rsidRDefault="00023A99" w:rsidP="004C0125">
            <w:r w:rsidRPr="00DF6DB4">
              <w:t>obowiązkowy/</w:t>
            </w:r>
            <w:r w:rsidRPr="00DF6DB4">
              <w:rPr>
                <w:strike/>
              </w:rPr>
              <w:t>fakultatywny</w:t>
            </w:r>
          </w:p>
        </w:tc>
      </w:tr>
      <w:tr w:rsidR="00023A99" w:rsidRPr="00DF6DB4" w14:paraId="73F3E812" w14:textId="77777777" w:rsidTr="00023A99">
        <w:tc>
          <w:tcPr>
            <w:tcW w:w="3942" w:type="dxa"/>
            <w:shd w:val="clear" w:color="auto" w:fill="auto"/>
          </w:tcPr>
          <w:p w14:paraId="683DE2DC" w14:textId="77777777" w:rsidR="00023A99" w:rsidRPr="00DF6DB4" w:rsidRDefault="00023A99" w:rsidP="004C0125">
            <w:r w:rsidRPr="00DF6DB4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293511AD" w14:textId="77777777" w:rsidR="00023A99" w:rsidRPr="00DF6DB4" w:rsidRDefault="00023A99" w:rsidP="004C0125">
            <w:r w:rsidRPr="00DF6DB4">
              <w:t>pierwszego stopnia/</w:t>
            </w:r>
            <w:r w:rsidRPr="00DF6DB4">
              <w:rPr>
                <w:strike/>
              </w:rPr>
              <w:t>drugiego stopnia</w:t>
            </w:r>
            <w:r w:rsidRPr="00DF6DB4">
              <w:t>/</w:t>
            </w:r>
            <w:r w:rsidRPr="00DF6DB4">
              <w:rPr>
                <w:strike/>
              </w:rPr>
              <w:t>jednolite magisterskie</w:t>
            </w:r>
          </w:p>
        </w:tc>
      </w:tr>
      <w:tr w:rsidR="00023A99" w:rsidRPr="00DF6DB4" w14:paraId="2A70F507" w14:textId="77777777" w:rsidTr="00023A99">
        <w:tc>
          <w:tcPr>
            <w:tcW w:w="3942" w:type="dxa"/>
            <w:shd w:val="clear" w:color="auto" w:fill="auto"/>
          </w:tcPr>
          <w:p w14:paraId="6F1AECA7" w14:textId="77777777" w:rsidR="00023A99" w:rsidRPr="00DF6DB4" w:rsidRDefault="00023A99" w:rsidP="004C0125">
            <w:r w:rsidRPr="00DF6DB4">
              <w:t>Forma studiów</w:t>
            </w:r>
          </w:p>
          <w:p w14:paraId="76F5B515" w14:textId="77777777" w:rsidR="00F02E5D" w:rsidRPr="00DF6DB4" w:rsidRDefault="00F02E5D" w:rsidP="004C0125"/>
        </w:tc>
        <w:tc>
          <w:tcPr>
            <w:tcW w:w="5344" w:type="dxa"/>
            <w:shd w:val="clear" w:color="auto" w:fill="auto"/>
          </w:tcPr>
          <w:p w14:paraId="4B30CE8E" w14:textId="77777777" w:rsidR="00023A99" w:rsidRPr="00DF6DB4" w:rsidRDefault="00023A99" w:rsidP="004C0125">
            <w:r w:rsidRPr="00DF6DB4">
              <w:t>stacjonarne/</w:t>
            </w:r>
            <w:r w:rsidRPr="00DF6DB4">
              <w:rPr>
                <w:strike/>
              </w:rPr>
              <w:t>niestacjonarne</w:t>
            </w:r>
          </w:p>
        </w:tc>
      </w:tr>
      <w:tr w:rsidR="00023A99" w:rsidRPr="00DF6DB4" w14:paraId="0CFC323E" w14:textId="77777777" w:rsidTr="00023A99">
        <w:tc>
          <w:tcPr>
            <w:tcW w:w="3942" w:type="dxa"/>
            <w:shd w:val="clear" w:color="auto" w:fill="auto"/>
          </w:tcPr>
          <w:p w14:paraId="4A74E668" w14:textId="77777777" w:rsidR="00023A99" w:rsidRPr="00DF6DB4" w:rsidRDefault="00023A99" w:rsidP="004C0125">
            <w:r w:rsidRPr="00DF6DB4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01B80DF5" w14:textId="77777777" w:rsidR="00023A99" w:rsidRPr="00DF6DB4" w:rsidRDefault="00023A99" w:rsidP="003F0D6D">
            <w:r w:rsidRPr="00DF6DB4">
              <w:t>II</w:t>
            </w:r>
          </w:p>
        </w:tc>
      </w:tr>
      <w:tr w:rsidR="00023A99" w:rsidRPr="00DF6DB4" w14:paraId="225ED93C" w14:textId="77777777" w:rsidTr="00023A99">
        <w:tc>
          <w:tcPr>
            <w:tcW w:w="3942" w:type="dxa"/>
            <w:shd w:val="clear" w:color="auto" w:fill="auto"/>
          </w:tcPr>
          <w:p w14:paraId="42203DE1" w14:textId="77777777" w:rsidR="00023A99" w:rsidRPr="00DF6DB4" w:rsidRDefault="00023A99" w:rsidP="004C0125">
            <w:r w:rsidRPr="00DF6DB4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69F2CAE6" w14:textId="77777777" w:rsidR="00023A99" w:rsidRPr="00DF6DB4" w:rsidRDefault="003F0D6D" w:rsidP="004C0125">
            <w:r w:rsidRPr="00DF6DB4">
              <w:t>4</w:t>
            </w:r>
          </w:p>
        </w:tc>
      </w:tr>
      <w:tr w:rsidR="00023A99" w:rsidRPr="00DF6DB4" w14:paraId="17F6DAF9" w14:textId="77777777" w:rsidTr="00023A99">
        <w:tc>
          <w:tcPr>
            <w:tcW w:w="3942" w:type="dxa"/>
            <w:shd w:val="clear" w:color="auto" w:fill="auto"/>
          </w:tcPr>
          <w:p w14:paraId="2BC09A0E" w14:textId="77777777" w:rsidR="00023A99" w:rsidRPr="00DF6DB4" w:rsidRDefault="00023A99" w:rsidP="004C0125">
            <w:pPr>
              <w:autoSpaceDE w:val="0"/>
              <w:autoSpaceDN w:val="0"/>
              <w:adjustRightInd w:val="0"/>
            </w:pPr>
            <w:r w:rsidRPr="00DF6DB4"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</w:tcPr>
          <w:p w14:paraId="7E48A28A" w14:textId="77C2BB72" w:rsidR="005173FB" w:rsidRDefault="005173FB" w:rsidP="003F0D6D">
            <w:r>
              <w:t>3</w:t>
            </w:r>
          </w:p>
          <w:p w14:paraId="16E2DAF6" w14:textId="3D18DFA5" w:rsidR="00023A99" w:rsidRPr="00DF6DB4" w:rsidRDefault="005173FB" w:rsidP="003F0D6D">
            <w:r>
              <w:t>(2,0</w:t>
            </w:r>
            <w:r w:rsidR="003F0D6D" w:rsidRPr="00DF6DB4">
              <w:t>/1,0)</w:t>
            </w:r>
          </w:p>
        </w:tc>
      </w:tr>
      <w:tr w:rsidR="003F0D6D" w:rsidRPr="00DF6DB4" w14:paraId="743CAB2F" w14:textId="77777777" w:rsidTr="00CB1887">
        <w:tc>
          <w:tcPr>
            <w:tcW w:w="3942" w:type="dxa"/>
            <w:shd w:val="clear" w:color="auto" w:fill="auto"/>
          </w:tcPr>
          <w:p w14:paraId="743B407F" w14:textId="77777777" w:rsidR="003F0D6D" w:rsidRPr="00DF6DB4" w:rsidRDefault="003F0D6D" w:rsidP="00F02E5D">
            <w:pPr>
              <w:autoSpaceDE w:val="0"/>
              <w:autoSpaceDN w:val="0"/>
              <w:adjustRightInd w:val="0"/>
            </w:pPr>
            <w:r w:rsidRPr="00DF6DB4"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0263143" w14:textId="77777777" w:rsidR="003F0D6D" w:rsidRPr="00DF6DB4" w:rsidRDefault="003F0D6D" w:rsidP="00735602">
            <w:r w:rsidRPr="00DF6DB4">
              <w:t xml:space="preserve">Prof. dr hab. inż., Marian Panasiewicz </w:t>
            </w:r>
          </w:p>
        </w:tc>
      </w:tr>
      <w:tr w:rsidR="003F0D6D" w:rsidRPr="00DF6DB4" w14:paraId="4833FD84" w14:textId="77777777" w:rsidTr="00CB1887">
        <w:tc>
          <w:tcPr>
            <w:tcW w:w="3942" w:type="dxa"/>
            <w:shd w:val="clear" w:color="auto" w:fill="auto"/>
          </w:tcPr>
          <w:p w14:paraId="56800DBA" w14:textId="77777777" w:rsidR="003F0D6D" w:rsidRPr="00DF6DB4" w:rsidRDefault="003F0D6D" w:rsidP="004C0125">
            <w:r w:rsidRPr="00DF6DB4">
              <w:t>Jednostka oferująca moduł</w:t>
            </w:r>
          </w:p>
          <w:p w14:paraId="099B88E4" w14:textId="77777777" w:rsidR="003F0D6D" w:rsidRPr="00DF6DB4" w:rsidRDefault="003F0D6D" w:rsidP="004C0125"/>
        </w:tc>
        <w:tc>
          <w:tcPr>
            <w:tcW w:w="5344" w:type="dxa"/>
            <w:shd w:val="clear" w:color="auto" w:fill="auto"/>
            <w:vAlign w:val="center"/>
          </w:tcPr>
          <w:p w14:paraId="2EDF5105" w14:textId="77777777" w:rsidR="003F0D6D" w:rsidRPr="00DF6DB4" w:rsidRDefault="003F0D6D" w:rsidP="00735602">
            <w:r w:rsidRPr="00DF6DB4">
              <w:t>Katedra Inżynierii i Maszyn Spożywczych</w:t>
            </w:r>
          </w:p>
        </w:tc>
      </w:tr>
      <w:tr w:rsidR="003F0D6D" w:rsidRPr="00DF6DB4" w14:paraId="41D4B2D6" w14:textId="77777777" w:rsidTr="00023A99">
        <w:tc>
          <w:tcPr>
            <w:tcW w:w="3942" w:type="dxa"/>
            <w:shd w:val="clear" w:color="auto" w:fill="auto"/>
          </w:tcPr>
          <w:p w14:paraId="0D917C7C" w14:textId="77777777" w:rsidR="003F0D6D" w:rsidRPr="00DF6DB4" w:rsidRDefault="003F0D6D" w:rsidP="004C0125">
            <w:r w:rsidRPr="00DF6DB4">
              <w:t>Cel modułu</w:t>
            </w:r>
          </w:p>
          <w:p w14:paraId="2161581F" w14:textId="77777777" w:rsidR="003F0D6D" w:rsidRPr="00DF6DB4" w:rsidRDefault="003F0D6D" w:rsidP="004C0125"/>
        </w:tc>
        <w:tc>
          <w:tcPr>
            <w:tcW w:w="5344" w:type="dxa"/>
            <w:shd w:val="clear" w:color="auto" w:fill="auto"/>
          </w:tcPr>
          <w:p w14:paraId="2E7E6425" w14:textId="77777777" w:rsidR="003F0D6D" w:rsidRPr="00DF6DB4" w:rsidRDefault="003F0D6D" w:rsidP="003F0D6D">
            <w:pPr>
              <w:autoSpaceDE w:val="0"/>
              <w:autoSpaceDN w:val="0"/>
              <w:adjustRightInd w:val="0"/>
              <w:jc w:val="both"/>
            </w:pPr>
            <w:r w:rsidRPr="00DF6DB4">
              <w:t>Celem przedmiotu jest zapoznanie studentów z ogólnie rozumianą problematyką bezpieczeństwa i higieny pracy w rolnictwie i przetwórstwie spożywczym. Przekazanie wiedzy dotyczącej przyczyn powstawania zagrożeń, sposobów zapobiegania i procedurami postępowania w przypadku występujących zagrożeń w technologii przetwórstwa rolnego i spożywczego.</w:t>
            </w:r>
          </w:p>
        </w:tc>
      </w:tr>
      <w:tr w:rsidR="003F0D6D" w:rsidRPr="00DF6DB4" w14:paraId="4ACA2891" w14:textId="77777777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17DD9BF4" w14:textId="77777777" w:rsidR="003F0D6D" w:rsidRPr="00DF6DB4" w:rsidRDefault="003F0D6D" w:rsidP="00206860">
            <w:pPr>
              <w:jc w:val="both"/>
            </w:pPr>
            <w:r w:rsidRPr="00DF6DB4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14:paraId="2BB49BCF" w14:textId="77777777" w:rsidR="003F0D6D" w:rsidRPr="00DF6DB4" w:rsidRDefault="003F0D6D" w:rsidP="004C0125">
            <w:r w:rsidRPr="00DF6DB4">
              <w:t xml:space="preserve">Wiedza: </w:t>
            </w:r>
          </w:p>
        </w:tc>
      </w:tr>
      <w:tr w:rsidR="003F0D6D" w:rsidRPr="00DF6DB4" w14:paraId="399312FF" w14:textId="77777777" w:rsidTr="00F56A23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88330BF" w14:textId="77777777" w:rsidR="003F0D6D" w:rsidRPr="00DF6DB4" w:rsidRDefault="003F0D6D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BF1E2B4" w14:textId="77777777" w:rsidR="003F0D6D" w:rsidRPr="00DF6DB4" w:rsidRDefault="003F0D6D" w:rsidP="00735602">
            <w:pPr>
              <w:pStyle w:val="Default"/>
              <w:jc w:val="both"/>
            </w:pPr>
            <w:r w:rsidRPr="00DF6DB4">
              <w:t xml:space="preserve">W1. </w:t>
            </w:r>
            <w:r w:rsidRPr="00DF6DB4">
              <w:rPr>
                <w:rStyle w:val="hps"/>
              </w:rPr>
              <w:t>Student</w:t>
            </w:r>
            <w:r w:rsidRPr="00DF6DB4">
              <w:t xml:space="preserve"> zna i rozumie wiedzę ogólną w zakresie nauk technicznych oraz wiedzę specjalistyczną z zakresu bezpieczeństwa i higieny pracy w rolnictwie i przetwórstwie spożywczym</w:t>
            </w:r>
          </w:p>
        </w:tc>
      </w:tr>
      <w:tr w:rsidR="003F0D6D" w:rsidRPr="00DF6DB4" w14:paraId="778745D6" w14:textId="77777777" w:rsidTr="00F56A23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A4C8100" w14:textId="77777777" w:rsidR="003F0D6D" w:rsidRPr="00DF6DB4" w:rsidRDefault="003F0D6D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43FDB7F7" w14:textId="77777777" w:rsidR="003F0D6D" w:rsidRPr="00DF6DB4" w:rsidRDefault="003F0D6D" w:rsidP="00735602">
            <w:pPr>
              <w:jc w:val="both"/>
            </w:pPr>
            <w:r w:rsidRPr="00DF6DB4">
              <w:t>W2. Student zna i rozumie zasady bezpiecznego posługiwania się narzędziami ręcznymi, elektrycznymi i pneumatycznymi wykorzystywanymi w pracach i naprawach rolniczych oraz liniach technologicznych przetwórstwa spożywczego.</w:t>
            </w:r>
          </w:p>
        </w:tc>
      </w:tr>
      <w:tr w:rsidR="003F0D6D" w:rsidRPr="00DF6DB4" w14:paraId="08D3B3C4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B8F0B0B" w14:textId="77777777" w:rsidR="003F0D6D" w:rsidRPr="00DF6DB4" w:rsidRDefault="003F0D6D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9A778D7" w14:textId="77777777" w:rsidR="003F0D6D" w:rsidRPr="00DF6DB4" w:rsidRDefault="003F0D6D" w:rsidP="004C0125">
            <w:r w:rsidRPr="00DF6DB4">
              <w:t>Umiejętności:</w:t>
            </w:r>
          </w:p>
        </w:tc>
      </w:tr>
      <w:tr w:rsidR="000C1C12" w:rsidRPr="00DF6DB4" w14:paraId="7997A7E3" w14:textId="77777777" w:rsidTr="003F5087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CA409A5" w14:textId="77777777" w:rsidR="000C1C12" w:rsidRPr="00DF6DB4" w:rsidRDefault="000C1C12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7C12D58E" w14:textId="77777777" w:rsidR="000C1C12" w:rsidRPr="00DF6DB4" w:rsidRDefault="000C1C12" w:rsidP="00735602">
            <w:pPr>
              <w:jc w:val="both"/>
            </w:pPr>
            <w:r w:rsidRPr="00DF6DB4">
              <w:t>U1. Student potrafi ocenić przebieg procesów produkcyjnych w gospodarstwie i zakładzie przetwórstwa spożywczego w kontekście bhp</w:t>
            </w:r>
          </w:p>
        </w:tc>
      </w:tr>
      <w:tr w:rsidR="000C1C12" w:rsidRPr="00DF6DB4" w14:paraId="0F34DEE0" w14:textId="77777777" w:rsidTr="003F5087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A10A0AE" w14:textId="77777777" w:rsidR="000C1C12" w:rsidRPr="00DF6DB4" w:rsidRDefault="000C1C12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7AF11EBB" w14:textId="77777777" w:rsidR="000C1C12" w:rsidRPr="00DF6DB4" w:rsidRDefault="000C1C12" w:rsidP="000C1C12">
            <w:pPr>
              <w:jc w:val="both"/>
            </w:pPr>
            <w:r w:rsidRPr="00DF6DB4">
              <w:t>U2. . Student potrafi ocenić stan zagrożenia występujący w środowisku pracy oraz przyczyny i skutki wypadków występujących przy pracy w gospodarstwie rolnym i jego otoczeniu oraz procesach przetwórstwa spożywczego.</w:t>
            </w:r>
          </w:p>
        </w:tc>
      </w:tr>
      <w:tr w:rsidR="000C1C12" w:rsidRPr="00DF6DB4" w14:paraId="54539053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7A57036D" w14:textId="77777777" w:rsidR="000C1C12" w:rsidRPr="00DF6DB4" w:rsidRDefault="000C1C12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772B5472" w14:textId="77777777" w:rsidR="000C1C12" w:rsidRPr="00DF6DB4" w:rsidRDefault="000C1C12" w:rsidP="004C0125">
            <w:r w:rsidRPr="00DF6DB4">
              <w:t>Kompetencje społeczne:</w:t>
            </w:r>
          </w:p>
        </w:tc>
      </w:tr>
      <w:tr w:rsidR="000C1C12" w:rsidRPr="00DF6DB4" w14:paraId="265C3C70" w14:textId="77777777" w:rsidTr="000E4FB7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24D4A42F" w14:textId="77777777" w:rsidR="000C1C12" w:rsidRPr="00DF6DB4" w:rsidRDefault="000C1C12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0CAB655C" w14:textId="77777777" w:rsidR="000C1C12" w:rsidRPr="00DF6DB4" w:rsidRDefault="000C1C12" w:rsidP="00735602">
            <w:pPr>
              <w:jc w:val="both"/>
            </w:pPr>
            <w:r w:rsidRPr="00DF6DB4">
              <w:t xml:space="preserve">K1. </w:t>
            </w:r>
            <w:r w:rsidRPr="00DF6DB4">
              <w:rPr>
                <w:rStyle w:val="hps"/>
              </w:rPr>
              <w:t xml:space="preserve">Student </w:t>
            </w:r>
            <w:r w:rsidRPr="00DF6DB4">
              <w:t>ma świadomość ważności zdobytych umiejętności i potrafi określić priorytety w ochronie pracownika w procesie pracy przy równoczesnym sukcesie przedsiębiorstwa (gospodarstwa rolniczego i wybranego zakładu przetwórstwa spożywczego)</w:t>
            </w:r>
          </w:p>
        </w:tc>
      </w:tr>
      <w:tr w:rsidR="000C1C12" w:rsidRPr="00DF6DB4" w14:paraId="363C986E" w14:textId="77777777" w:rsidTr="000E4FB7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B874923" w14:textId="77777777" w:rsidR="000C1C12" w:rsidRPr="00DF6DB4" w:rsidRDefault="000C1C12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00DA33F" w14:textId="77777777" w:rsidR="000C1C12" w:rsidRPr="00DF6DB4" w:rsidRDefault="000C1C12" w:rsidP="00735602">
            <w:pPr>
              <w:jc w:val="both"/>
            </w:pPr>
            <w:r w:rsidRPr="00DF6DB4">
              <w:t>K2.</w:t>
            </w:r>
            <w:r w:rsidRPr="00DF6DB4">
              <w:rPr>
                <w:rStyle w:val="hps"/>
              </w:rPr>
              <w:t xml:space="preserve"> Student </w:t>
            </w:r>
            <w:r w:rsidRPr="00DF6DB4">
              <w:t>wykazuje gotowość ciągłego doskonalenia swoich umiejętności i przekazania strategicznej wiedzy zespołowi oraz społeczeństwu</w:t>
            </w:r>
          </w:p>
        </w:tc>
      </w:tr>
      <w:tr w:rsidR="000C1C12" w:rsidRPr="00DF6DB4" w14:paraId="36E47A76" w14:textId="77777777" w:rsidTr="00023A99">
        <w:tc>
          <w:tcPr>
            <w:tcW w:w="3942" w:type="dxa"/>
            <w:shd w:val="clear" w:color="auto" w:fill="auto"/>
          </w:tcPr>
          <w:p w14:paraId="4DB0870E" w14:textId="77777777" w:rsidR="000C1C12" w:rsidRPr="00DF6DB4" w:rsidRDefault="000C1C12" w:rsidP="00AE37C2">
            <w:r w:rsidRPr="00DF6DB4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083A0ECA" w14:textId="77777777" w:rsidR="000C1C12" w:rsidRPr="00DF6DB4" w:rsidRDefault="000C1C12" w:rsidP="000C1C12">
            <w:pPr>
              <w:jc w:val="both"/>
              <w:rPr>
                <w:color w:val="0070C0"/>
              </w:rPr>
            </w:pPr>
            <w:r w:rsidRPr="00DF6DB4">
              <w:t xml:space="preserve">Kod efektu modułowego – kod efektu kierunkowego </w:t>
            </w:r>
          </w:p>
          <w:p w14:paraId="365601AC" w14:textId="77777777" w:rsidR="000C1C12" w:rsidRPr="00DF6DB4" w:rsidRDefault="000C1C12" w:rsidP="000C1C12">
            <w:pPr>
              <w:jc w:val="both"/>
            </w:pPr>
            <w:r w:rsidRPr="00DF6DB4">
              <w:t>W1 – BH_W05;  P6S_WG</w:t>
            </w:r>
          </w:p>
          <w:p w14:paraId="1C8AF65C" w14:textId="77777777" w:rsidR="000C1C12" w:rsidRPr="00DF6DB4" w:rsidRDefault="000C1C12" w:rsidP="000C1C12">
            <w:pPr>
              <w:jc w:val="both"/>
            </w:pPr>
            <w:r w:rsidRPr="00DF6DB4">
              <w:t xml:space="preserve">W2 – BH_W06;  P6S_WG </w:t>
            </w:r>
          </w:p>
          <w:p w14:paraId="1A19D6DB" w14:textId="77777777" w:rsidR="000C1C12" w:rsidRPr="00DF6DB4" w:rsidRDefault="000C1C12" w:rsidP="000C1C12">
            <w:pPr>
              <w:jc w:val="both"/>
            </w:pPr>
            <w:r w:rsidRPr="00DF6DB4">
              <w:t>……</w:t>
            </w:r>
          </w:p>
          <w:p w14:paraId="6C544235" w14:textId="77777777" w:rsidR="000C1C12" w:rsidRPr="00DF6DB4" w:rsidRDefault="000C1C12" w:rsidP="000C1C12">
            <w:pPr>
              <w:jc w:val="both"/>
            </w:pPr>
            <w:r w:rsidRPr="00DF6DB4">
              <w:t>U1 – BH_U04;  P6S_UW</w:t>
            </w:r>
          </w:p>
          <w:p w14:paraId="777CE35C" w14:textId="77777777" w:rsidR="000C1C12" w:rsidRPr="00DF6DB4" w:rsidRDefault="000C1C12" w:rsidP="000C1C12">
            <w:pPr>
              <w:jc w:val="both"/>
            </w:pPr>
            <w:r w:rsidRPr="00DF6DB4">
              <w:t xml:space="preserve">U2 – BH_U10;  P6S_UU </w:t>
            </w:r>
          </w:p>
          <w:p w14:paraId="0D2B4739" w14:textId="77777777" w:rsidR="000C1C12" w:rsidRPr="00DF6DB4" w:rsidRDefault="000C1C12" w:rsidP="000C1C12">
            <w:pPr>
              <w:jc w:val="both"/>
            </w:pPr>
            <w:r w:rsidRPr="00DF6DB4">
              <w:t>…….</w:t>
            </w:r>
          </w:p>
          <w:p w14:paraId="5058007E" w14:textId="77777777" w:rsidR="000C1C12" w:rsidRPr="00DF6DB4" w:rsidRDefault="000C1C12" w:rsidP="000C1C12">
            <w:pPr>
              <w:jc w:val="both"/>
            </w:pPr>
            <w:r w:rsidRPr="00DF6DB4">
              <w:t>K1 – BH-K01;  P6S_KK</w:t>
            </w:r>
          </w:p>
          <w:p w14:paraId="5B17B0BF" w14:textId="77777777" w:rsidR="000C1C12" w:rsidRPr="00DF6DB4" w:rsidRDefault="000C1C12" w:rsidP="000C1C12">
            <w:pPr>
              <w:jc w:val="both"/>
            </w:pPr>
            <w:r w:rsidRPr="00DF6DB4">
              <w:t>K2 – BH_K03;  P6S_KO</w:t>
            </w:r>
          </w:p>
        </w:tc>
      </w:tr>
      <w:tr w:rsidR="000C1C12" w:rsidRPr="00DF6DB4" w14:paraId="25AA7E13" w14:textId="77777777" w:rsidTr="00023A99">
        <w:tc>
          <w:tcPr>
            <w:tcW w:w="3942" w:type="dxa"/>
            <w:shd w:val="clear" w:color="auto" w:fill="auto"/>
          </w:tcPr>
          <w:p w14:paraId="763AC9FF" w14:textId="77777777" w:rsidR="000C1C12" w:rsidRPr="00DF6DB4" w:rsidRDefault="000C1C12" w:rsidP="00AE37C2">
            <w:r w:rsidRPr="00DF6DB4">
              <w:t>Odniesienie modułowych efektów uczenia się do efektów inżynierskich (jeżeli dotyczy)</w:t>
            </w:r>
          </w:p>
        </w:tc>
        <w:tc>
          <w:tcPr>
            <w:tcW w:w="5344" w:type="dxa"/>
            <w:shd w:val="clear" w:color="auto" w:fill="auto"/>
          </w:tcPr>
          <w:p w14:paraId="48642044" w14:textId="16B29028" w:rsidR="00DF6DB4" w:rsidRPr="00DF6DB4" w:rsidRDefault="000C1C12" w:rsidP="00DF6DB4">
            <w:pPr>
              <w:jc w:val="both"/>
            </w:pPr>
            <w:r w:rsidRPr="00DF6DB4">
              <w:t xml:space="preserve">Kod efektu modułowego – kod efektu inżynierskiego </w:t>
            </w:r>
          </w:p>
          <w:p w14:paraId="3738FFD8" w14:textId="0FE781D0" w:rsidR="00044446" w:rsidRDefault="00044446" w:rsidP="000C1C12">
            <w:pPr>
              <w:jc w:val="both"/>
            </w:pPr>
            <w:r>
              <w:t>W – InzBH_W</w:t>
            </w:r>
            <w:bookmarkStart w:id="0" w:name="_GoBack"/>
            <w:bookmarkEnd w:id="0"/>
            <w:r>
              <w:t>05</w:t>
            </w:r>
          </w:p>
          <w:p w14:paraId="7FE8EBC9" w14:textId="44882D27" w:rsidR="000C1C12" w:rsidRPr="00DF6DB4" w:rsidRDefault="008B3DBA" w:rsidP="000C1C12">
            <w:pPr>
              <w:jc w:val="both"/>
            </w:pPr>
            <w:r>
              <w:t>U2 – InzBH_U04</w:t>
            </w:r>
          </w:p>
        </w:tc>
      </w:tr>
      <w:tr w:rsidR="000C1C12" w:rsidRPr="00DF6DB4" w14:paraId="61C70432" w14:textId="77777777" w:rsidTr="00023A99">
        <w:tc>
          <w:tcPr>
            <w:tcW w:w="3942" w:type="dxa"/>
            <w:shd w:val="clear" w:color="auto" w:fill="auto"/>
          </w:tcPr>
          <w:p w14:paraId="18B362B7" w14:textId="77777777" w:rsidR="000C1C12" w:rsidRPr="00DF6DB4" w:rsidRDefault="000C1C12" w:rsidP="00AE37C2">
            <w:r w:rsidRPr="00DF6DB4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34DEC8B8" w14:textId="77777777" w:rsidR="000C1C12" w:rsidRPr="00DF6DB4" w:rsidRDefault="000C1C12" w:rsidP="00AE37C2">
            <w:pPr>
              <w:jc w:val="both"/>
            </w:pPr>
            <w:r w:rsidRPr="00DF6DB4">
              <w:t>Technologia produkcji roślinnej, Urządzenia techniczne w rolnictwie i w przemyśle spożywczym, Podstawy bezpieczeństwa i higieny pracy, Zagrożenia w środowisku pracy, Podstawy ergonomii i rysunku technicznego, Technika rolnicza i procesy przetwórstwa surowców rolno-spożywczych.</w:t>
            </w:r>
          </w:p>
        </w:tc>
      </w:tr>
      <w:tr w:rsidR="000C1C12" w:rsidRPr="00DF6DB4" w14:paraId="66281B5A" w14:textId="77777777" w:rsidTr="00023A99">
        <w:tc>
          <w:tcPr>
            <w:tcW w:w="3942" w:type="dxa"/>
            <w:shd w:val="clear" w:color="auto" w:fill="auto"/>
          </w:tcPr>
          <w:p w14:paraId="2AF8EBB3" w14:textId="77777777" w:rsidR="000C1C12" w:rsidRPr="00DF6DB4" w:rsidRDefault="000C1C12" w:rsidP="00AE37C2">
            <w:r w:rsidRPr="00DF6DB4">
              <w:t xml:space="preserve">Treści programowe modułu </w:t>
            </w:r>
          </w:p>
          <w:p w14:paraId="2A76FD55" w14:textId="77777777" w:rsidR="000C1C12" w:rsidRPr="00DF6DB4" w:rsidRDefault="000C1C12" w:rsidP="00AE37C2"/>
        </w:tc>
        <w:tc>
          <w:tcPr>
            <w:tcW w:w="5344" w:type="dxa"/>
            <w:shd w:val="clear" w:color="auto" w:fill="auto"/>
          </w:tcPr>
          <w:p w14:paraId="31E16E69" w14:textId="77777777" w:rsidR="000C1C12" w:rsidRPr="00DF6DB4" w:rsidRDefault="000C1C12" w:rsidP="00AE37C2">
            <w:r w:rsidRPr="00DF6DB4">
              <w:t>Zwarty opis treści programowych modułu</w:t>
            </w:r>
          </w:p>
          <w:p w14:paraId="30558564" w14:textId="77777777" w:rsidR="000C1C12" w:rsidRPr="00DF6DB4" w:rsidRDefault="000C1C12" w:rsidP="000C1C12"/>
          <w:p w14:paraId="5BEB1F99" w14:textId="77777777" w:rsidR="000C1C12" w:rsidRPr="00DF6DB4" w:rsidRDefault="000C1C12" w:rsidP="000C1C12">
            <w:pPr>
              <w:jc w:val="both"/>
            </w:pPr>
            <w:r w:rsidRPr="00DF6DB4">
              <w:rPr>
                <w:color w:val="181818"/>
              </w:rPr>
              <w:t xml:space="preserve">Przyczyny wypadków przy pracy i postępowanie powypadkowe. Choroby zawodowe – przyczyny i sposoby zapobiegania. Podstawowe przepisy BHP. Zasady udzielenia pierwszej pomocy. </w:t>
            </w:r>
            <w:r w:rsidRPr="00DF6DB4">
              <w:t xml:space="preserve">Ocena ryzyka zawodowego w rolnictwie. Ocena zagrożeń w rolnictwie, podstawy, metody oraz możliwości i przykłady (zagrożenia </w:t>
            </w:r>
            <w:r w:rsidRPr="00DF6DB4">
              <w:rPr>
                <w:color w:val="000000"/>
              </w:rPr>
              <w:t>mechaniczne, chemiczne, pyłowe, n</w:t>
            </w:r>
            <w:r w:rsidRPr="00DF6DB4">
              <w:t xml:space="preserve">iekorzystne warunki termiczne, czynniki atmosferyczne, biologiczne, zagrożenia prądem elektrycznym, upadkami z wysokości). Ocena ryzyka zawodowego na wybranych stanowiskach pracy w przemyśle rolno-spożywczym. BHP w procesach przetwarzania surowców rolno-spożywczych pracy wybranych grup maszyn spożywczych: do </w:t>
            </w:r>
            <w:r w:rsidRPr="00DF6DB4">
              <w:rPr>
                <w:color w:val="000000"/>
              </w:rPr>
              <w:t xml:space="preserve">mycia, filtrowania, czyszczenia, </w:t>
            </w:r>
            <w:r w:rsidRPr="00DF6DB4">
              <w:rPr>
                <w:color w:val="000000"/>
              </w:rPr>
              <w:lastRenderedPageBreak/>
              <w:t>sortowania, suszenia, obłuskiwania, rozdrabniania, dozowania, mieszania, ciśnieniowej aglomeracji, odpylania, pakowania.</w:t>
            </w:r>
          </w:p>
        </w:tc>
      </w:tr>
      <w:tr w:rsidR="000C1C12" w:rsidRPr="00DF6DB4" w14:paraId="7E15E2A9" w14:textId="77777777" w:rsidTr="00023A99">
        <w:tc>
          <w:tcPr>
            <w:tcW w:w="3942" w:type="dxa"/>
            <w:shd w:val="clear" w:color="auto" w:fill="auto"/>
          </w:tcPr>
          <w:p w14:paraId="2BAE45AE" w14:textId="77777777" w:rsidR="000C1C12" w:rsidRPr="00DF6DB4" w:rsidRDefault="000C1C12" w:rsidP="00AE37C2">
            <w:r w:rsidRPr="00DF6DB4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57B3F2F6" w14:textId="77777777" w:rsidR="000C1C12" w:rsidRPr="00DF6DB4" w:rsidRDefault="000C1C12" w:rsidP="000C1C12">
            <w:pPr>
              <w:jc w:val="both"/>
            </w:pPr>
            <w:r w:rsidRPr="00DF6DB4">
              <w:t>Należy podać literaturę wymaganą i zalecaną do zaliczenia modułu</w:t>
            </w:r>
          </w:p>
          <w:p w14:paraId="2D7C9D89" w14:textId="77777777" w:rsidR="000C1C12" w:rsidRPr="00DF6DB4" w:rsidRDefault="000C1C12" w:rsidP="000C1C12">
            <w:pPr>
              <w:autoSpaceDE w:val="0"/>
              <w:autoSpaceDN w:val="0"/>
              <w:adjustRightInd w:val="0"/>
              <w:ind w:left="152" w:hanging="152"/>
              <w:jc w:val="both"/>
            </w:pPr>
            <w:r w:rsidRPr="00DF6DB4">
              <w:t>1. Bugajska J., Gacek W., Skowroń J.: Pierwsza pomoc w gospodarstwie wiejskim, CIOP, Warszawa. 2002.</w:t>
            </w:r>
          </w:p>
          <w:p w14:paraId="20B46644" w14:textId="77777777" w:rsidR="000C1C12" w:rsidRPr="00DF6DB4" w:rsidRDefault="000C1C12" w:rsidP="000C1C12">
            <w:pPr>
              <w:autoSpaceDE w:val="0"/>
              <w:autoSpaceDN w:val="0"/>
              <w:adjustRightInd w:val="0"/>
              <w:ind w:left="152" w:hanging="152"/>
              <w:jc w:val="both"/>
            </w:pPr>
            <w:r w:rsidRPr="00DF6DB4">
              <w:t xml:space="preserve">2. Bujak F. Solecki L. (red.): </w:t>
            </w:r>
            <w:r w:rsidRPr="00DF6DB4">
              <w:rPr>
                <w:iCs/>
              </w:rPr>
              <w:t xml:space="preserve">Wypadki w rolnictwie- dynamika zmian w ostatniej dekadzie. </w:t>
            </w:r>
            <w:r w:rsidRPr="00DF6DB4">
              <w:t>IMW Lublin. 2007.</w:t>
            </w:r>
          </w:p>
          <w:p w14:paraId="43C3FBD8" w14:textId="77777777" w:rsidR="000C1C12" w:rsidRPr="00DF6DB4" w:rsidRDefault="000C1C12" w:rsidP="000C1C12">
            <w:pPr>
              <w:autoSpaceDE w:val="0"/>
              <w:autoSpaceDN w:val="0"/>
              <w:adjustRightInd w:val="0"/>
              <w:ind w:left="152" w:hanging="152"/>
              <w:jc w:val="both"/>
            </w:pPr>
            <w:r w:rsidRPr="00DF6DB4">
              <w:t>3. Bujak F.: Trudne wydarzenia życia i pracy rolników. w: Stres w pracy i życiu rolnika- jego skutki zdrowotne. IMW Lublin. 2008.</w:t>
            </w:r>
          </w:p>
          <w:p w14:paraId="50A16FB3" w14:textId="77777777" w:rsidR="000C1C12" w:rsidRPr="00DF6DB4" w:rsidRDefault="000C1C12" w:rsidP="000C1C12">
            <w:pPr>
              <w:autoSpaceDE w:val="0"/>
              <w:autoSpaceDN w:val="0"/>
              <w:adjustRightInd w:val="0"/>
              <w:ind w:left="152" w:hanging="152"/>
              <w:jc w:val="both"/>
            </w:pPr>
            <w:r w:rsidRPr="00DF6DB4">
              <w:t>4. Dutkiewicz J., Śpiewak R., Jabłoński L., Szymańska J.: Biologiczne czynniki zagrożenia zawodowego, klasyfikacja, narażone grupy zawodowe, pomiary, profilaktyka, Wyd. adpunctum, Lublin, 2007.</w:t>
            </w:r>
          </w:p>
          <w:p w14:paraId="5C4704E3" w14:textId="77777777" w:rsidR="000C1C12" w:rsidRPr="00DF6DB4" w:rsidRDefault="000C1C12" w:rsidP="000C1C12">
            <w:pPr>
              <w:ind w:left="360" w:hanging="360"/>
              <w:jc w:val="both"/>
            </w:pPr>
            <w:r w:rsidRPr="00DF6DB4">
              <w:t>5. Nowak L.: Sprzęt roboczy, minimalne wymagania. PIP. Warszawa. 2006.</w:t>
            </w:r>
          </w:p>
          <w:p w14:paraId="2B9350A8" w14:textId="77777777" w:rsidR="000C1C12" w:rsidRPr="00DF6DB4" w:rsidRDefault="000C1C12" w:rsidP="000C1C12">
            <w:pPr>
              <w:shd w:val="clear" w:color="auto" w:fill="FEFEFE"/>
              <w:ind w:left="-360" w:firstLine="332"/>
              <w:jc w:val="both"/>
              <w:rPr>
                <w:color w:val="181818"/>
              </w:rPr>
            </w:pPr>
            <w:r w:rsidRPr="00DF6DB4">
              <w:rPr>
                <w:color w:val="181818"/>
              </w:rPr>
              <w:t>6. Nowakowski J.: Nauka o pracy, PWN, Warszawa. 1991.</w:t>
            </w:r>
          </w:p>
          <w:p w14:paraId="4D8A0EDA" w14:textId="77777777" w:rsidR="000C1C12" w:rsidRPr="00DF6DB4" w:rsidRDefault="000C1C12" w:rsidP="000C1C12">
            <w:pPr>
              <w:shd w:val="clear" w:color="auto" w:fill="FEFEFE"/>
              <w:jc w:val="both"/>
              <w:rPr>
                <w:color w:val="181818"/>
              </w:rPr>
            </w:pPr>
            <w:r w:rsidRPr="00DF6DB4">
              <w:rPr>
                <w:color w:val="181818"/>
              </w:rPr>
              <w:t>7. Kodeks Pracy www.pracuj.pl.</w:t>
            </w:r>
          </w:p>
          <w:p w14:paraId="4468A885" w14:textId="77777777" w:rsidR="000C1C12" w:rsidRPr="00DF6DB4" w:rsidRDefault="000C1C12" w:rsidP="000C1C12">
            <w:pPr>
              <w:jc w:val="both"/>
            </w:pPr>
            <w:r w:rsidRPr="00DF6DB4">
              <w:t>8. Warunki bezpieczeństwa i higieny pracy w przemyśle spożywczym: Rozporządzenie Ministra Rolnictwa I Rozwoju Wsi z dnia 12 maja 2003 r. w sprawie bezpieczeństwa i higieny pracy przy obsłudze amoniakalnych instalacji chłodniczych w zakładach przetwórstwa rolno-spożywczego.</w:t>
            </w:r>
          </w:p>
        </w:tc>
      </w:tr>
      <w:tr w:rsidR="000C1C12" w:rsidRPr="00DF6DB4" w14:paraId="0185F98C" w14:textId="77777777" w:rsidTr="00023A99">
        <w:tc>
          <w:tcPr>
            <w:tcW w:w="3942" w:type="dxa"/>
            <w:shd w:val="clear" w:color="auto" w:fill="auto"/>
          </w:tcPr>
          <w:p w14:paraId="28A56043" w14:textId="77777777" w:rsidR="000C1C12" w:rsidRPr="00DF6DB4" w:rsidRDefault="000C1C12" w:rsidP="00AE37C2">
            <w:r w:rsidRPr="00DF6DB4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6B6AAF59" w14:textId="77777777" w:rsidR="000C1C12" w:rsidRPr="00DF6DB4" w:rsidRDefault="000C1C12" w:rsidP="00F564C1">
            <w:pPr>
              <w:jc w:val="both"/>
            </w:pPr>
            <w:r w:rsidRPr="00DF6DB4">
              <w:t xml:space="preserve">Metody dydaktyczne: należy podać informację na temat stosowanych metod dydaktycznych </w:t>
            </w:r>
          </w:p>
          <w:p w14:paraId="76D5CE55" w14:textId="77777777" w:rsidR="000C1C12" w:rsidRPr="00DF6DB4" w:rsidRDefault="000C1C12" w:rsidP="00F564C1">
            <w:pPr>
              <w:jc w:val="both"/>
            </w:pPr>
            <w:r w:rsidRPr="00DF6DB4">
              <w:t>np. dyskusja, wykład, doświadczenie, ćwiczenia rachunkowe, wykonanie projektu, pokaz, metody programowe z wykorzystaniem komputera itp.</w:t>
            </w:r>
          </w:p>
          <w:p w14:paraId="03598D64" w14:textId="77777777" w:rsidR="000C1C12" w:rsidRPr="00DF6DB4" w:rsidRDefault="000C1C12" w:rsidP="00F564C1">
            <w:pPr>
              <w:jc w:val="both"/>
            </w:pPr>
          </w:p>
          <w:p w14:paraId="1D91E835" w14:textId="77777777" w:rsidR="00F564C1" w:rsidRPr="00DF6DB4" w:rsidRDefault="00F564C1" w:rsidP="00F564C1">
            <w:pPr>
              <w:jc w:val="both"/>
            </w:pPr>
            <w:r w:rsidRPr="00DF6DB4">
              <w:t>Wykłady, zajęcia laboratoryjne, prace kontrolne i zadania projektowe, zajęcia terenowe (wizyta w zakładzie przetwórstwa spożywczego i wybranym gospodarstwie rolnym)</w:t>
            </w:r>
          </w:p>
        </w:tc>
      </w:tr>
      <w:tr w:rsidR="000C1C12" w:rsidRPr="00DF6DB4" w14:paraId="7B9872E3" w14:textId="77777777" w:rsidTr="00023A99">
        <w:tc>
          <w:tcPr>
            <w:tcW w:w="3942" w:type="dxa"/>
            <w:shd w:val="clear" w:color="auto" w:fill="auto"/>
          </w:tcPr>
          <w:p w14:paraId="0BC31D7F" w14:textId="77777777" w:rsidR="000C1C12" w:rsidRPr="00DF6DB4" w:rsidRDefault="000C1C12" w:rsidP="00AE37C2">
            <w:r w:rsidRPr="00DF6DB4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574F3600" w14:textId="77777777" w:rsidR="000C1C12" w:rsidRPr="00DF6DB4" w:rsidRDefault="000C1C12" w:rsidP="00BF1306">
            <w:pPr>
              <w:rPr>
                <w:color w:val="000000" w:themeColor="text1"/>
                <w:u w:val="single"/>
              </w:rPr>
            </w:pPr>
            <w:r w:rsidRPr="00DF6DB4">
              <w:rPr>
                <w:color w:val="000000" w:themeColor="text1"/>
                <w:u w:val="single"/>
              </w:rPr>
              <w:t>SPOSOBY WERYFIKACJI:</w:t>
            </w:r>
          </w:p>
          <w:p w14:paraId="14D7916E" w14:textId="77777777" w:rsidR="00F564C1" w:rsidRPr="00DF6DB4" w:rsidRDefault="00F564C1" w:rsidP="00F564C1">
            <w:pPr>
              <w:jc w:val="both"/>
            </w:pPr>
          </w:p>
          <w:p w14:paraId="2CF2E8A7" w14:textId="77777777" w:rsidR="00F564C1" w:rsidRPr="00DF6DB4" w:rsidRDefault="00F564C1" w:rsidP="00F564C1">
            <w:pPr>
              <w:jc w:val="both"/>
            </w:pPr>
            <w:r w:rsidRPr="00DF6DB4">
              <w:t>W1 Ocena ze sprawdzianu pisemnego w formie pytań otwartych, schematów maszyn i urządzeń.</w:t>
            </w:r>
          </w:p>
          <w:p w14:paraId="7DD41147" w14:textId="77777777" w:rsidR="00F564C1" w:rsidRPr="00DF6DB4" w:rsidRDefault="00F564C1" w:rsidP="00F564C1">
            <w:pPr>
              <w:jc w:val="both"/>
            </w:pPr>
            <w:r w:rsidRPr="00DF6DB4">
              <w:t xml:space="preserve">W2 Ocena z końcowego sprawdzianu pisemnego. </w:t>
            </w:r>
          </w:p>
          <w:p w14:paraId="4BA7BCFD" w14:textId="77777777" w:rsidR="00F564C1" w:rsidRPr="00DF6DB4" w:rsidRDefault="00F564C1" w:rsidP="00F564C1">
            <w:pPr>
              <w:jc w:val="both"/>
            </w:pPr>
            <w:r w:rsidRPr="00DF6DB4">
              <w:t xml:space="preserve">Ocena pracy kontrolnej w formie prezentacji i jej obrona.  </w:t>
            </w:r>
          </w:p>
          <w:p w14:paraId="7D0A1AD6" w14:textId="77777777" w:rsidR="00F564C1" w:rsidRPr="00DF6DB4" w:rsidRDefault="00F564C1" w:rsidP="00F564C1">
            <w:pPr>
              <w:jc w:val="both"/>
              <w:rPr>
                <w:u w:val="single"/>
              </w:rPr>
            </w:pPr>
            <w:r w:rsidRPr="00DF6DB4">
              <w:t xml:space="preserve">Egzamin pisemnych w formie pytań otwartych. </w:t>
            </w:r>
          </w:p>
          <w:p w14:paraId="07B47749" w14:textId="77777777" w:rsidR="00F564C1" w:rsidRPr="00DF6DB4" w:rsidRDefault="00F564C1" w:rsidP="00F564C1">
            <w:pPr>
              <w:jc w:val="both"/>
              <w:rPr>
                <w:u w:val="single"/>
              </w:rPr>
            </w:pPr>
          </w:p>
          <w:p w14:paraId="3150E298" w14:textId="77777777" w:rsidR="00F564C1" w:rsidRPr="00DF6DB4" w:rsidRDefault="00F564C1" w:rsidP="00F564C1">
            <w:pPr>
              <w:jc w:val="both"/>
            </w:pPr>
            <w:r w:rsidRPr="00DF6DB4">
              <w:t>U1 Ocena sprawdzianu pisemnego w formie pytań otwartych.</w:t>
            </w:r>
          </w:p>
          <w:p w14:paraId="0711A81B" w14:textId="77777777" w:rsidR="00F564C1" w:rsidRPr="00DF6DB4" w:rsidRDefault="00F564C1" w:rsidP="00F564C1">
            <w:pPr>
              <w:jc w:val="both"/>
            </w:pPr>
            <w:r w:rsidRPr="00DF6DB4">
              <w:lastRenderedPageBreak/>
              <w:t>Ocena identyfikowania maszyn w zależności od realizowanego procesu</w:t>
            </w:r>
          </w:p>
          <w:p w14:paraId="4B6AC0D7" w14:textId="77777777" w:rsidR="00F564C1" w:rsidRPr="00DF6DB4" w:rsidRDefault="00F564C1" w:rsidP="00F564C1">
            <w:pPr>
              <w:jc w:val="both"/>
            </w:pPr>
            <w:r w:rsidRPr="00DF6DB4">
              <w:t xml:space="preserve">U2 Ocena z końcowego sprawdzianu pisemnego. </w:t>
            </w:r>
          </w:p>
          <w:p w14:paraId="5974D850" w14:textId="77777777" w:rsidR="00F564C1" w:rsidRPr="00DF6DB4" w:rsidRDefault="00F564C1" w:rsidP="00F564C1">
            <w:pPr>
              <w:jc w:val="both"/>
              <w:rPr>
                <w:u w:val="single"/>
              </w:rPr>
            </w:pPr>
            <w:r w:rsidRPr="00DF6DB4">
              <w:t>Ocena pracy kontrolnej w formie prezentacji i jej obrona</w:t>
            </w:r>
          </w:p>
          <w:p w14:paraId="729B5797" w14:textId="77777777" w:rsidR="00F564C1" w:rsidRPr="00DF6DB4" w:rsidRDefault="00F564C1" w:rsidP="00F564C1">
            <w:pPr>
              <w:jc w:val="both"/>
            </w:pPr>
            <w:r w:rsidRPr="00DF6DB4">
              <w:t>Ocena wiedzy z zakresu budowy, zasady działania i eksploatacji aparatury przemysłowej</w:t>
            </w:r>
          </w:p>
          <w:p w14:paraId="4C7C3696" w14:textId="77777777" w:rsidR="00F564C1" w:rsidRPr="00DF6DB4" w:rsidRDefault="00F564C1" w:rsidP="00F564C1">
            <w:pPr>
              <w:jc w:val="both"/>
            </w:pPr>
          </w:p>
          <w:p w14:paraId="544706B6" w14:textId="77777777" w:rsidR="00F564C1" w:rsidRPr="00DF6DB4" w:rsidRDefault="00F564C1" w:rsidP="00F564C1">
            <w:pPr>
              <w:jc w:val="both"/>
            </w:pPr>
            <w:r w:rsidRPr="00DF6DB4">
              <w:t>K1 – ocena udziału w dyskusji, wspólne dążenie do weryfikacji postawionych tez poprzez analizę danych, ocena sprawdzianu pisemnego; ocena pracy w grupie i pracy indywidualnej.</w:t>
            </w:r>
          </w:p>
          <w:p w14:paraId="43D95560" w14:textId="77777777" w:rsidR="00F564C1" w:rsidRPr="00DF6DB4" w:rsidRDefault="00F564C1" w:rsidP="00F564C1">
            <w:pPr>
              <w:jc w:val="both"/>
            </w:pPr>
            <w:r w:rsidRPr="00DF6DB4">
              <w:t xml:space="preserve">K2 –ocena pracy zespołowej w czasie ćwiczeń </w:t>
            </w:r>
          </w:p>
          <w:p w14:paraId="03AD14E0" w14:textId="77777777" w:rsidR="00F564C1" w:rsidRPr="00DF6DB4" w:rsidRDefault="00F564C1" w:rsidP="00F564C1">
            <w:pPr>
              <w:jc w:val="both"/>
            </w:pPr>
          </w:p>
          <w:p w14:paraId="2206966A" w14:textId="77777777" w:rsidR="00F564C1" w:rsidRPr="00DF6DB4" w:rsidRDefault="00F564C1" w:rsidP="00F564C1">
            <w:pPr>
              <w:jc w:val="both"/>
            </w:pPr>
            <w:r w:rsidRPr="00DF6DB4">
              <w:rPr>
                <w:u w:val="single"/>
              </w:rPr>
              <w:t>DOKUMENTOWANIE OSIĄGNIĘTYCH EFEKTÓW UCZENIA SIĘ</w:t>
            </w:r>
            <w:r w:rsidRPr="00DF6DB4">
              <w:t xml:space="preserve"> prace końcowe: egzaminy, archiwizowanie w formie papierowej; dziennik prowadzącego</w:t>
            </w:r>
          </w:p>
          <w:p w14:paraId="71C52D75" w14:textId="77777777" w:rsidR="00F564C1" w:rsidRPr="00DF6DB4" w:rsidRDefault="00F564C1" w:rsidP="00F564C1">
            <w:pPr>
              <w:jc w:val="both"/>
            </w:pPr>
            <w:r w:rsidRPr="00DF6DB4">
              <w:t>Szczegółowe kryteria przy ocenie zaliczenia i prac kontrolnych</w:t>
            </w:r>
          </w:p>
          <w:p w14:paraId="346DD040" w14:textId="77777777" w:rsidR="00F564C1" w:rsidRPr="00DF6DB4" w:rsidRDefault="00F564C1" w:rsidP="00F564C1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</w:pPr>
            <w:r w:rsidRPr="00DF6DB4"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73DAECB5" w14:textId="77777777" w:rsidR="00F564C1" w:rsidRPr="00DF6DB4" w:rsidRDefault="00F564C1" w:rsidP="00F564C1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</w:pPr>
            <w:r w:rsidRPr="00DF6DB4"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30B7C435" w14:textId="77777777" w:rsidR="00F564C1" w:rsidRPr="00DF6DB4" w:rsidRDefault="00F564C1" w:rsidP="00F564C1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</w:pPr>
            <w:r w:rsidRPr="00DF6DB4"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14EEE0D3" w14:textId="77777777" w:rsidR="00F564C1" w:rsidRPr="00DF6DB4" w:rsidRDefault="00F564C1" w:rsidP="00F564C1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</w:rPr>
            </w:pPr>
            <w:r w:rsidRPr="00DF6DB4"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2B33C1A4" w14:textId="77777777" w:rsidR="000C1C12" w:rsidRPr="00DF6DB4" w:rsidRDefault="00F564C1" w:rsidP="00F564C1">
            <w:pPr>
              <w:jc w:val="both"/>
              <w:rPr>
                <w:rFonts w:eastAsiaTheme="minorHAnsi"/>
                <w:color w:val="000000" w:themeColor="text1"/>
              </w:rPr>
            </w:pPr>
            <w:r w:rsidRPr="00DF6DB4"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0C1C12" w:rsidRPr="00DF6DB4" w14:paraId="13518D68" w14:textId="77777777" w:rsidTr="00023A99">
        <w:tc>
          <w:tcPr>
            <w:tcW w:w="3942" w:type="dxa"/>
            <w:shd w:val="clear" w:color="auto" w:fill="auto"/>
          </w:tcPr>
          <w:p w14:paraId="227C6527" w14:textId="77777777" w:rsidR="000C1C12" w:rsidRPr="00DF6DB4" w:rsidRDefault="000C1C12" w:rsidP="00AE37C2">
            <w:r w:rsidRPr="00DF6DB4">
              <w:lastRenderedPageBreak/>
              <w:t>Elementy i wagi mające wpływ na ocenę końcową</w:t>
            </w:r>
          </w:p>
          <w:p w14:paraId="19415838" w14:textId="77777777" w:rsidR="000C1C12" w:rsidRPr="00DF6DB4" w:rsidRDefault="000C1C12" w:rsidP="00AE37C2"/>
          <w:p w14:paraId="7AE22805" w14:textId="77777777" w:rsidR="000C1C12" w:rsidRPr="00DF6DB4" w:rsidRDefault="000C1C12" w:rsidP="00AE37C2"/>
        </w:tc>
        <w:tc>
          <w:tcPr>
            <w:tcW w:w="5344" w:type="dxa"/>
            <w:shd w:val="clear" w:color="auto" w:fill="auto"/>
          </w:tcPr>
          <w:p w14:paraId="51263330" w14:textId="77777777" w:rsidR="000C1C12" w:rsidRPr="00DF6DB4" w:rsidRDefault="000C1C12" w:rsidP="00AE37C2">
            <w:pPr>
              <w:jc w:val="both"/>
            </w:pPr>
            <w:r w:rsidRPr="00DF6DB4">
              <w:t xml:space="preserve">Należy określić wagę i udział ocen uzyskanych przez studenta w wyniku weryfikacji poszczególnych  efektów uczenia się, zwłaszcza w zakresie wiedzy i umiejętności praktycznych. W przypadku </w:t>
            </w:r>
            <w:r w:rsidRPr="00DF6DB4">
              <w:lastRenderedPageBreak/>
              <w:t>przedmiotów 2-3 semestralnych należy uwzględnić udział ocen uzyskanych na koniec każdego semestru.</w:t>
            </w:r>
          </w:p>
          <w:p w14:paraId="41869D84" w14:textId="77777777" w:rsidR="00F564C1" w:rsidRPr="00DF6DB4" w:rsidRDefault="00F564C1" w:rsidP="00F564C1"/>
          <w:p w14:paraId="6455AC10" w14:textId="77777777" w:rsidR="00F564C1" w:rsidRPr="00DF6DB4" w:rsidRDefault="00F564C1" w:rsidP="00F564C1">
            <w:r w:rsidRPr="00DF6DB4">
              <w:t>Ocena z ćwiczeń – średnia z 1 sprawdzianu i pracy kontrolnej w formie projektu oraz obrony projektu (wartość merytoryczna, prezentowanie);</w:t>
            </w:r>
          </w:p>
          <w:p w14:paraId="45B6DD38" w14:textId="77777777" w:rsidR="000C1C12" w:rsidRPr="00DF6DB4" w:rsidRDefault="00F564C1" w:rsidP="00F564C1">
            <w:pPr>
              <w:jc w:val="both"/>
            </w:pPr>
            <w:r w:rsidRPr="00DF6DB4">
              <w:t>Ocena końcowa – ocena z egzaminu pisemnego 50 % +50% oceny z części ćwiczeniowej (sprawdzian, praca projektowa, ocena aktywności w trakcie pracy grupowej. Warunki te są przedstawiane na pierwszych zajęciach z modułu.</w:t>
            </w:r>
          </w:p>
        </w:tc>
      </w:tr>
      <w:tr w:rsidR="000C1C12" w:rsidRPr="00DF6DB4" w14:paraId="440879FD" w14:textId="77777777" w:rsidTr="000F587A">
        <w:trPr>
          <w:trHeight w:val="2324"/>
        </w:trPr>
        <w:tc>
          <w:tcPr>
            <w:tcW w:w="3942" w:type="dxa"/>
            <w:shd w:val="clear" w:color="auto" w:fill="auto"/>
          </w:tcPr>
          <w:p w14:paraId="3AAA7D03" w14:textId="77777777" w:rsidR="000C1C12" w:rsidRPr="00DF6DB4" w:rsidRDefault="000C1C12" w:rsidP="00AE37C2">
            <w:pPr>
              <w:jc w:val="both"/>
            </w:pPr>
            <w:r w:rsidRPr="00DF6DB4">
              <w:lastRenderedPageBreak/>
              <w:t>Bilans punktów ECTS</w:t>
            </w:r>
          </w:p>
          <w:p w14:paraId="398AB8B4" w14:textId="77777777" w:rsidR="000C1C12" w:rsidRPr="00DF6DB4" w:rsidRDefault="000C1C12" w:rsidP="00AE37C2">
            <w:pPr>
              <w:jc w:val="both"/>
            </w:pPr>
          </w:p>
          <w:p w14:paraId="19DC985A" w14:textId="77777777" w:rsidR="000C1C12" w:rsidRPr="00DF6DB4" w:rsidRDefault="000C1C12" w:rsidP="00AE37C2">
            <w:pPr>
              <w:jc w:val="both"/>
            </w:pPr>
            <w:r w:rsidRPr="00DF6DB4">
              <w:t>Na studiach stacjonarnych przewaga godzin kontaktowych nad nie kontaktowymi</w:t>
            </w:r>
          </w:p>
          <w:p w14:paraId="3ECD68B2" w14:textId="77777777" w:rsidR="000C1C12" w:rsidRPr="00DF6DB4" w:rsidRDefault="000C1C12" w:rsidP="00AE37C2">
            <w:pPr>
              <w:jc w:val="both"/>
            </w:pPr>
          </w:p>
          <w:p w14:paraId="693650C0" w14:textId="77777777" w:rsidR="000C1C12" w:rsidRPr="00DF6DB4" w:rsidRDefault="000C1C12" w:rsidP="00AE37C2">
            <w:pPr>
              <w:jc w:val="both"/>
              <w:rPr>
                <w:color w:val="FF0000"/>
              </w:rPr>
            </w:pPr>
            <w:r w:rsidRPr="00DF6DB4">
              <w:t>Konsultacje dopuszcza się max. 3 godz.</w:t>
            </w:r>
          </w:p>
        </w:tc>
        <w:tc>
          <w:tcPr>
            <w:tcW w:w="5344" w:type="dxa"/>
            <w:shd w:val="clear" w:color="auto" w:fill="auto"/>
          </w:tcPr>
          <w:p w14:paraId="63C4B8A7" w14:textId="77777777" w:rsidR="00F564C1" w:rsidRPr="00DF6DB4" w:rsidRDefault="00F564C1" w:rsidP="00F564C1">
            <w:pPr>
              <w:jc w:val="center"/>
              <w:rPr>
                <w:b/>
                <w:bCs/>
                <w:strike/>
              </w:rPr>
            </w:pPr>
            <w:r w:rsidRPr="00DF6DB4">
              <w:rPr>
                <w:b/>
                <w:bCs/>
              </w:rPr>
              <w:t>KONTAKTOWE</w:t>
            </w:r>
          </w:p>
          <w:p w14:paraId="0CECD5E2" w14:textId="77777777" w:rsidR="00F564C1" w:rsidRPr="00DF6DB4" w:rsidRDefault="00F564C1" w:rsidP="00F564C1">
            <w:pPr>
              <w:rPr>
                <w:b/>
              </w:rPr>
            </w:pPr>
            <w:r w:rsidRPr="00DF6DB4">
              <w:rPr>
                <w:b/>
              </w:rPr>
              <w:t xml:space="preserve">Forma zajęć       Liczba godz.         Punkty ECTS                                                         </w:t>
            </w:r>
            <w:r w:rsidRPr="00DF6DB4">
              <w:t xml:space="preserve"> </w:t>
            </w:r>
          </w:p>
          <w:p w14:paraId="74D5F233" w14:textId="77777777" w:rsidR="00F564C1" w:rsidRPr="00DF6DB4" w:rsidRDefault="00F564C1" w:rsidP="00F564C1">
            <w:r w:rsidRPr="00DF6DB4">
              <w:t>Wykład                 15 godz.               0,6 pkt. ECTS</w:t>
            </w:r>
          </w:p>
          <w:p w14:paraId="4EB98A15" w14:textId="77777777" w:rsidR="00F564C1" w:rsidRPr="00DF6DB4" w:rsidRDefault="00F564C1" w:rsidP="00F564C1">
            <w:r w:rsidRPr="00DF6DB4">
              <w:t xml:space="preserve">Ćwiczenia             30 godz.               1,2 pkt. ECTS </w:t>
            </w:r>
          </w:p>
          <w:p w14:paraId="135FE75A" w14:textId="5AA5442E" w:rsidR="00F564C1" w:rsidRPr="00DF6DB4" w:rsidRDefault="00F564C1" w:rsidP="00F564C1">
            <w:r w:rsidRPr="00DF6DB4">
              <w:t xml:space="preserve">Konsultacje             2 godz.               0,08 pkt. ECTS </w:t>
            </w:r>
          </w:p>
          <w:p w14:paraId="613B1A92" w14:textId="359A1249" w:rsidR="00F564C1" w:rsidRPr="00DF6DB4" w:rsidRDefault="005173FB" w:rsidP="00F564C1">
            <w:r>
              <w:t>Egzamin                  4 godz.               0,16</w:t>
            </w:r>
            <w:r w:rsidR="00F564C1" w:rsidRPr="00DF6DB4">
              <w:t xml:space="preserve"> pkt. ECTS</w:t>
            </w:r>
          </w:p>
          <w:p w14:paraId="337739B1" w14:textId="77777777" w:rsidR="00F564C1" w:rsidRPr="00DF6DB4" w:rsidRDefault="00F564C1" w:rsidP="00F564C1">
            <w:pPr>
              <w:rPr>
                <w:b/>
                <w:bCs/>
              </w:rPr>
            </w:pPr>
            <w:r w:rsidRPr="00DF6DB4">
              <w:rPr>
                <w:b/>
                <w:bCs/>
              </w:rPr>
              <w:t>Razem kontaktowe  51 godz.          2,04 pkt. ECTS</w:t>
            </w:r>
          </w:p>
          <w:p w14:paraId="7FED0F4B" w14:textId="77777777" w:rsidR="000C1C12" w:rsidRPr="00DF6DB4" w:rsidRDefault="000C1C12" w:rsidP="00BF1306">
            <w:pPr>
              <w:jc w:val="both"/>
            </w:pPr>
          </w:p>
          <w:p w14:paraId="4470A1D6" w14:textId="77777777" w:rsidR="00F564C1" w:rsidRPr="00DF6DB4" w:rsidRDefault="00F564C1" w:rsidP="00BF1306">
            <w:pPr>
              <w:jc w:val="both"/>
            </w:pPr>
          </w:p>
          <w:p w14:paraId="2FFD76AB" w14:textId="77777777" w:rsidR="00F564C1" w:rsidRPr="00DF6DB4" w:rsidRDefault="00F564C1" w:rsidP="00F564C1">
            <w:pPr>
              <w:jc w:val="center"/>
              <w:rPr>
                <w:b/>
                <w:bCs/>
              </w:rPr>
            </w:pPr>
            <w:r w:rsidRPr="00DF6DB4">
              <w:rPr>
                <w:b/>
                <w:bCs/>
              </w:rPr>
              <w:t>NIEKONTAKTOWE</w:t>
            </w:r>
          </w:p>
          <w:p w14:paraId="29BE557D" w14:textId="77777777" w:rsidR="00F564C1" w:rsidRPr="00DF6DB4" w:rsidRDefault="00F564C1" w:rsidP="00F564C1">
            <w:r w:rsidRPr="00DF6DB4">
              <w:t>Przygotowanie pracy kontrolnej (prezentacji).............          5 godz.  0,2 pkt. ECTS</w:t>
            </w:r>
          </w:p>
          <w:p w14:paraId="05E26E50" w14:textId="77777777" w:rsidR="00F564C1" w:rsidRPr="00DF6DB4" w:rsidRDefault="00F564C1" w:rsidP="00F564C1">
            <w:r w:rsidRPr="00DF6DB4">
              <w:t>Studiowanie literatury       10 godz.  0,4 pkt. ECTS</w:t>
            </w:r>
          </w:p>
          <w:p w14:paraId="5AAE94A1" w14:textId="77777777" w:rsidR="00F564C1" w:rsidRPr="00DF6DB4" w:rsidRDefault="00F564C1" w:rsidP="00F564C1">
            <w:r w:rsidRPr="00DF6DB4">
              <w:t>Przygotowanie (sprawdzian) 10 godz. 0,4 pkt. ECTS</w:t>
            </w:r>
          </w:p>
          <w:p w14:paraId="7688CCB6" w14:textId="77777777" w:rsidR="00F564C1" w:rsidRPr="00DF6DB4" w:rsidRDefault="00F564C1" w:rsidP="00F564C1">
            <w:pPr>
              <w:rPr>
                <w:b/>
                <w:bCs/>
              </w:rPr>
            </w:pPr>
            <w:r w:rsidRPr="00DF6DB4">
              <w:rPr>
                <w:b/>
                <w:bCs/>
              </w:rPr>
              <w:t>Razem niekontaktowe 25 godz.      1,0 pkt. ECTS</w:t>
            </w:r>
          </w:p>
          <w:p w14:paraId="7922555B" w14:textId="77777777" w:rsidR="00F564C1" w:rsidRPr="00DF6DB4" w:rsidRDefault="00F564C1" w:rsidP="00F564C1">
            <w:pPr>
              <w:rPr>
                <w:b/>
              </w:rPr>
            </w:pPr>
          </w:p>
          <w:p w14:paraId="35316BFC" w14:textId="77777777" w:rsidR="00F564C1" w:rsidRPr="00DF6DB4" w:rsidRDefault="00F564C1" w:rsidP="00F564C1">
            <w:pPr>
              <w:jc w:val="both"/>
            </w:pPr>
            <w:r w:rsidRPr="00DF6DB4">
              <w:t>Łączny nakład pracy studenta to 75 godz., co odpowiada 3 pkt. ECTS</w:t>
            </w:r>
          </w:p>
        </w:tc>
      </w:tr>
      <w:tr w:rsidR="000C1C12" w:rsidRPr="00DF6DB4" w14:paraId="0B93FB0C" w14:textId="77777777" w:rsidTr="00101F00">
        <w:trPr>
          <w:trHeight w:val="718"/>
        </w:trPr>
        <w:tc>
          <w:tcPr>
            <w:tcW w:w="3942" w:type="dxa"/>
            <w:shd w:val="clear" w:color="auto" w:fill="auto"/>
          </w:tcPr>
          <w:p w14:paraId="143CB7C7" w14:textId="77777777" w:rsidR="000C1C12" w:rsidRPr="00DF6DB4" w:rsidRDefault="000C1C12" w:rsidP="00AE37C2">
            <w:r w:rsidRPr="00DF6DB4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14:paraId="7863111A" w14:textId="77777777" w:rsidR="000C1C12" w:rsidRPr="00DF6DB4" w:rsidRDefault="00F564C1" w:rsidP="0032363D">
            <w:pPr>
              <w:jc w:val="both"/>
            </w:pPr>
            <w:r w:rsidRPr="00DF6DB4">
              <w:t>Udział w wykładach – 15 godz.; w ćwiczeniach – 30 godz.; konsultacjach – 2 godz.; egzaminie – 2 godz.</w:t>
            </w:r>
          </w:p>
        </w:tc>
      </w:tr>
    </w:tbl>
    <w:p w14:paraId="4712C4B7" w14:textId="77777777" w:rsidR="00F82B32" w:rsidRPr="00F02E5D" w:rsidRDefault="00F82B32"/>
    <w:sectPr w:rsidR="00F82B32" w:rsidRPr="00F02E5D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3EB29" w14:textId="77777777" w:rsidR="00636F8C" w:rsidRDefault="00636F8C" w:rsidP="008D17BD">
      <w:r>
        <w:separator/>
      </w:r>
    </w:p>
  </w:endnote>
  <w:endnote w:type="continuationSeparator" w:id="0">
    <w:p w14:paraId="02D66476" w14:textId="77777777" w:rsidR="00636F8C" w:rsidRDefault="00636F8C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A73FDFD" w14:textId="4AA591BD" w:rsidR="00992D17" w:rsidRDefault="00A64FF1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044446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044446">
              <w:rPr>
                <w:bCs/>
                <w:noProof/>
              </w:rPr>
              <w:t>5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3EE3A867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A8145" w14:textId="77777777" w:rsidR="00636F8C" w:rsidRDefault="00636F8C" w:rsidP="008D17BD">
      <w:r>
        <w:separator/>
      </w:r>
    </w:p>
  </w:footnote>
  <w:footnote w:type="continuationSeparator" w:id="0">
    <w:p w14:paraId="326585CA" w14:textId="77777777" w:rsidR="00636F8C" w:rsidRDefault="00636F8C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CF1F6" w14:textId="77777777" w:rsidR="00992D17" w:rsidRPr="00DD52EE" w:rsidRDefault="00DC2364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Załącznik  </w:t>
    </w:r>
    <w:r w:rsidR="00DD52EE" w:rsidRPr="00DD52EE">
      <w:rPr>
        <w:bCs/>
        <w:sz w:val="22"/>
        <w:szCs w:val="22"/>
      </w:rPr>
      <w:t xml:space="preserve">nr 4 </w:t>
    </w:r>
    <w:r w:rsidRPr="00DD52EE">
      <w:rPr>
        <w:bCs/>
        <w:sz w:val="22"/>
        <w:szCs w:val="22"/>
      </w:rPr>
      <w:t xml:space="preserve">do Uchwały nr </w:t>
    </w:r>
    <w:r w:rsidR="00F74AC9" w:rsidRPr="00DD52EE">
      <w:rPr>
        <w:bCs/>
        <w:sz w:val="22"/>
        <w:szCs w:val="22"/>
      </w:rPr>
      <w:t>3/2023-2024</w:t>
    </w:r>
  </w:p>
  <w:p w14:paraId="128B6F98" w14:textId="77777777" w:rsidR="00992D17" w:rsidRPr="00DD52EE" w:rsidRDefault="00992D17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                                                            Senatu UP w Lublinie z dnia</w:t>
    </w:r>
    <w:r w:rsidR="00F74AC9" w:rsidRPr="00DD52EE">
      <w:rPr>
        <w:bCs/>
        <w:sz w:val="22"/>
        <w:szCs w:val="22"/>
      </w:rPr>
      <w:t xml:space="preserve"> 27 października 2023 </w:t>
    </w:r>
    <w:r w:rsidRPr="00DD52EE">
      <w:rPr>
        <w:bCs/>
        <w:sz w:val="22"/>
        <w:szCs w:val="22"/>
      </w:rPr>
      <w:t>r.</w:t>
    </w:r>
  </w:p>
  <w:p w14:paraId="0A44CC33" w14:textId="77777777"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0C5A79ED" w14:textId="77777777" w:rsidR="00992D17" w:rsidRDefault="00992D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E76"/>
    <w:multiLevelType w:val="hybridMultilevel"/>
    <w:tmpl w:val="8D101D0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A99"/>
    <w:rsid w:val="0000553A"/>
    <w:rsid w:val="00023A99"/>
    <w:rsid w:val="00044446"/>
    <w:rsid w:val="000A06C8"/>
    <w:rsid w:val="000C1C12"/>
    <w:rsid w:val="000F587A"/>
    <w:rsid w:val="00101F00"/>
    <w:rsid w:val="001B2B9D"/>
    <w:rsid w:val="00206860"/>
    <w:rsid w:val="00207270"/>
    <w:rsid w:val="002E46FB"/>
    <w:rsid w:val="0032363D"/>
    <w:rsid w:val="0032739E"/>
    <w:rsid w:val="003853C3"/>
    <w:rsid w:val="003B32BF"/>
    <w:rsid w:val="003E3BB2"/>
    <w:rsid w:val="003F0D6D"/>
    <w:rsid w:val="00422E08"/>
    <w:rsid w:val="00457679"/>
    <w:rsid w:val="00500899"/>
    <w:rsid w:val="005173FB"/>
    <w:rsid w:val="0057184E"/>
    <w:rsid w:val="005A4862"/>
    <w:rsid w:val="00636F8C"/>
    <w:rsid w:val="006406BA"/>
    <w:rsid w:val="00647EED"/>
    <w:rsid w:val="006742BC"/>
    <w:rsid w:val="0069399C"/>
    <w:rsid w:val="006E3728"/>
    <w:rsid w:val="006F3573"/>
    <w:rsid w:val="00874A0E"/>
    <w:rsid w:val="0089357C"/>
    <w:rsid w:val="008B3DBA"/>
    <w:rsid w:val="008D17BD"/>
    <w:rsid w:val="0092197E"/>
    <w:rsid w:val="00962D61"/>
    <w:rsid w:val="00980EBB"/>
    <w:rsid w:val="00991350"/>
    <w:rsid w:val="00992D17"/>
    <w:rsid w:val="009C2572"/>
    <w:rsid w:val="009E49CA"/>
    <w:rsid w:val="00A52572"/>
    <w:rsid w:val="00A64FF1"/>
    <w:rsid w:val="00A6673A"/>
    <w:rsid w:val="00AE37C2"/>
    <w:rsid w:val="00B245A3"/>
    <w:rsid w:val="00B400C0"/>
    <w:rsid w:val="00BA3FF3"/>
    <w:rsid w:val="00BF1306"/>
    <w:rsid w:val="00BF24E9"/>
    <w:rsid w:val="00C82AC5"/>
    <w:rsid w:val="00C922BA"/>
    <w:rsid w:val="00CD423D"/>
    <w:rsid w:val="00D2747A"/>
    <w:rsid w:val="00DC2364"/>
    <w:rsid w:val="00DC5EA9"/>
    <w:rsid w:val="00DD52EE"/>
    <w:rsid w:val="00DF6048"/>
    <w:rsid w:val="00DF6DB4"/>
    <w:rsid w:val="00E54369"/>
    <w:rsid w:val="00E752A3"/>
    <w:rsid w:val="00EC3848"/>
    <w:rsid w:val="00F02DA4"/>
    <w:rsid w:val="00F02E5D"/>
    <w:rsid w:val="00F17FA9"/>
    <w:rsid w:val="00F50FB4"/>
    <w:rsid w:val="00F564C1"/>
    <w:rsid w:val="00F74AC9"/>
    <w:rsid w:val="00F82B32"/>
    <w:rsid w:val="00FC2490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BE0AA"/>
  <w15:docId w15:val="{625C113E-1FF3-4F0F-B620-E6860F24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1306"/>
    <w:pPr>
      <w:ind w:left="720"/>
      <w:contextualSpacing/>
    </w:pPr>
  </w:style>
  <w:style w:type="paragraph" w:customStyle="1" w:styleId="Default">
    <w:name w:val="Default"/>
    <w:rsid w:val="00BF13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ps">
    <w:name w:val="hps"/>
    <w:rsid w:val="003F0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307B3-187F-48B1-AAF6-46A08C04C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1369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11</cp:revision>
  <cp:lastPrinted>2023-11-03T07:34:00Z</cp:lastPrinted>
  <dcterms:created xsi:type="dcterms:W3CDTF">2024-02-11T14:04:00Z</dcterms:created>
  <dcterms:modified xsi:type="dcterms:W3CDTF">2024-03-20T10:11:00Z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cd109857bd893aa5229ff7a528581289bcc9adf34ec20d76f2a2aba6464d5bbe</vt:lpwstr>
  </property>
</Properties>
</file>