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AF5A49" w:rsidRPr="003305C4" w14:paraId="5A4C828C" w14:textId="77777777" w:rsidTr="00051967">
        <w:tc>
          <w:tcPr>
            <w:tcW w:w="3942" w:type="dxa"/>
            <w:shd w:val="clear" w:color="auto" w:fill="auto"/>
            <w:vAlign w:val="center"/>
          </w:tcPr>
          <w:p w14:paraId="4E31AA45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41380573" w:rsidR="00AF5A49" w:rsidRPr="009C6C17" w:rsidRDefault="00AF5A49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AF5A49" w:rsidRPr="009C6C17" w14:paraId="06C8ECF4" w14:textId="77777777" w:rsidTr="00051967">
        <w:tc>
          <w:tcPr>
            <w:tcW w:w="3942" w:type="dxa"/>
            <w:shd w:val="clear" w:color="auto" w:fill="auto"/>
            <w:vAlign w:val="center"/>
          </w:tcPr>
          <w:p w14:paraId="44391272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604472EB" w14:textId="77777777" w:rsidR="00583943" w:rsidRPr="009C6C17" w:rsidRDefault="00583943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Bezpieczeństwo środków żywienia ludzi i zwierząt</w:t>
            </w:r>
          </w:p>
          <w:p w14:paraId="5C85743B" w14:textId="3CF986AD" w:rsidR="00AF5A49" w:rsidRPr="009C6C17" w:rsidRDefault="00583943" w:rsidP="009C6C17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9C6C17">
              <w:rPr>
                <w:color w:val="000000" w:themeColor="text1"/>
                <w:sz w:val="22"/>
                <w:szCs w:val="22"/>
                <w:lang w:val="en-US"/>
              </w:rPr>
              <w:t>Safety of human and animal nutrition</w:t>
            </w:r>
          </w:p>
        </w:tc>
      </w:tr>
      <w:tr w:rsidR="00AF5A49" w:rsidRPr="003305C4" w14:paraId="02636F74" w14:textId="77777777" w:rsidTr="00051967">
        <w:tc>
          <w:tcPr>
            <w:tcW w:w="3942" w:type="dxa"/>
            <w:shd w:val="clear" w:color="auto" w:fill="auto"/>
            <w:vAlign w:val="center"/>
          </w:tcPr>
          <w:p w14:paraId="6537073C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22C93B11" w:rsidR="00AF5A49" w:rsidRPr="009C6C17" w:rsidRDefault="00AF5A49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AF5A4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AF5A49" w:rsidRPr="003305C4" w:rsidRDefault="00AF5A4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41662923" w:rsidR="00AF5A49" w:rsidRPr="009C6C17" w:rsidRDefault="00311A27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AF5A4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29E117AB" w:rsidR="00AF5A49" w:rsidRPr="009C6C17" w:rsidRDefault="00AF5A49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pierwszego stopnia</w:t>
            </w:r>
          </w:p>
        </w:tc>
      </w:tr>
      <w:tr w:rsidR="00AF5A4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06353AA" w:rsidR="00AF5A49" w:rsidRPr="009C6C17" w:rsidRDefault="00AF5A49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AF5A4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522154F8" w:rsidR="00AF5A49" w:rsidRPr="009C6C17" w:rsidRDefault="00AF5A49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II</w:t>
            </w:r>
          </w:p>
        </w:tc>
      </w:tr>
      <w:tr w:rsidR="00AF5A4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2AE01A4D" w:rsidR="00AF5A49" w:rsidRPr="009C6C17" w:rsidRDefault="00AF5A49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AF5A4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AF5A49" w:rsidRPr="003305C4" w:rsidRDefault="00AF5A4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31B240D0" w:rsidR="00AF5A49" w:rsidRPr="009C6C17" w:rsidRDefault="00AF5A49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3 (</w:t>
            </w:r>
            <w:r w:rsidR="00773DBA" w:rsidRPr="009C6C17">
              <w:rPr>
                <w:color w:val="000000" w:themeColor="text1"/>
                <w:sz w:val="22"/>
                <w:szCs w:val="22"/>
              </w:rPr>
              <w:t>1,9</w:t>
            </w:r>
            <w:r w:rsidR="00FE071F" w:rsidRPr="009C6C17">
              <w:rPr>
                <w:color w:val="000000" w:themeColor="text1"/>
                <w:sz w:val="22"/>
                <w:szCs w:val="22"/>
              </w:rPr>
              <w:t>2</w:t>
            </w:r>
            <w:r w:rsidR="00773DBA" w:rsidRPr="009C6C17">
              <w:rPr>
                <w:color w:val="000000" w:themeColor="text1"/>
                <w:sz w:val="22"/>
                <w:szCs w:val="22"/>
              </w:rPr>
              <w:t>/1,0</w:t>
            </w:r>
            <w:r w:rsidR="001E3DC3" w:rsidRPr="009C6C17">
              <w:rPr>
                <w:color w:val="000000" w:themeColor="text1"/>
                <w:sz w:val="22"/>
                <w:szCs w:val="22"/>
              </w:rPr>
              <w:t>8</w:t>
            </w:r>
            <w:r w:rsidR="00773DBA" w:rsidRPr="009C6C17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F5A4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AF5A49" w:rsidRPr="003305C4" w:rsidRDefault="00AF5A4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5ECD517C" w:rsidR="00AF5A49" w:rsidRPr="009C6C17" w:rsidRDefault="00AF5A49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dr hab. Anna Winiarska-Mieczan</w:t>
            </w:r>
          </w:p>
        </w:tc>
      </w:tr>
      <w:tr w:rsidR="00AF5A4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74A3A977" w:rsidR="00AF5A49" w:rsidRPr="009C6C17" w:rsidRDefault="00AF5A49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Instytut Żywienia Zwierząt i Bromatologii</w:t>
            </w:r>
          </w:p>
        </w:tc>
      </w:tr>
      <w:tr w:rsidR="00AF5A4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AF5A49" w:rsidRPr="003305C4" w:rsidRDefault="00AF5A4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AF5A49" w:rsidRPr="003305C4" w:rsidRDefault="00AF5A4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72B44BD4" w:rsidR="00AF5A49" w:rsidRPr="009C6C17" w:rsidRDefault="00583943" w:rsidP="009C6C1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Zanieczyszczenie żywności; Wpływ żywienia zwierząt i jakości pasz na produkty zwierzęce; Antropogeniczne źródła zanieczyszczeń pasz i żywności; Unikanie lub minimalizowanie zanieczyszczeń; Zasady produkowania i znakowania żywności;  Ocena sposobu żywienia ludzi i zwierząt w odniesieniu do bezpieczeństwa i higieny życia i pracy.</w:t>
            </w:r>
          </w:p>
        </w:tc>
      </w:tr>
      <w:tr w:rsidR="00AF5A4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AF5A49" w:rsidRPr="003305C4" w:rsidRDefault="00AF5A4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AF5A49" w:rsidRPr="009C6C17" w:rsidRDefault="00AF5A49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AF5A49" w:rsidRPr="003305C4" w14:paraId="33C19C97" w14:textId="77777777" w:rsidTr="00C76F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AF5A49" w:rsidRPr="003305C4" w:rsidRDefault="00AF5A4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7979D285" w:rsidR="00AF5A49" w:rsidRPr="009C6C17" w:rsidRDefault="00AF5A49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rStyle w:val="hps"/>
                <w:color w:val="000000" w:themeColor="text1"/>
                <w:sz w:val="22"/>
                <w:szCs w:val="22"/>
              </w:rPr>
              <w:t xml:space="preserve">W1. </w:t>
            </w:r>
            <w:r w:rsidRPr="009C6C17">
              <w:rPr>
                <w:color w:val="000000" w:themeColor="text1"/>
                <w:sz w:val="22"/>
                <w:szCs w:val="22"/>
              </w:rPr>
              <w:t xml:space="preserve">Zna terminologię związaną z higieną, żywnością i żywieniem ludzi i zwierząt; posiada wiedzę na temat zapobiegania chorobom cywilizacyjnym dietozależnym, zna drogi przenoszenia drobnoustrojów chorobotwórczych przez żywność i wodę oraz aktualne zagrożenia związane z występowaniem szkodliwych substancji chemicznych w produktach spożywczych </w:t>
            </w:r>
          </w:p>
        </w:tc>
      </w:tr>
      <w:tr w:rsidR="00AF5A49" w:rsidRPr="003305C4" w14:paraId="35E076E9" w14:textId="77777777" w:rsidTr="00C76F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AF5A49" w:rsidRPr="003305C4" w:rsidRDefault="00AF5A4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74D57575" w:rsidR="00AF5A49" w:rsidRPr="009C6C17" w:rsidRDefault="00AF5A49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F5A4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AF5A49" w:rsidRPr="003305C4" w:rsidRDefault="00AF5A4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AF5A49" w:rsidRPr="009C6C17" w:rsidRDefault="00AF5A49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A741B6" w:rsidRPr="003305C4" w14:paraId="08B6E56A" w14:textId="77777777" w:rsidTr="00E40F8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F86903D" w:rsidR="00A741B6" w:rsidRPr="009C6C17" w:rsidRDefault="00A741B6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U1. Wykonuje proste zadania badawcze, wykazuje umiejętność poprawnego wnioskowania, umie korzystać z różnych źródeł informacji </w:t>
            </w:r>
          </w:p>
        </w:tc>
      </w:tr>
      <w:tr w:rsidR="00A741B6" w:rsidRPr="003305C4" w14:paraId="27B66AF9" w14:textId="77777777" w:rsidTr="00E40F8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5EF464D3" w:rsidR="00A741B6" w:rsidRPr="009C6C17" w:rsidRDefault="00A741B6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U2. Posiada umiejętności wystąpień ustnych w języku polskim dotyczących zagadnień związanych z higieną pasz i żywności oraz potrafi wykonać prezentację wyników badań w formie multimedialnej </w:t>
            </w:r>
          </w:p>
        </w:tc>
      </w:tr>
      <w:tr w:rsidR="00A741B6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A741B6" w:rsidRPr="009C6C17" w:rsidRDefault="00A741B6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A741B6" w:rsidRPr="003305C4" w14:paraId="69D0E334" w14:textId="77777777" w:rsidTr="00DB1AC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6CD806E6" w:rsidR="00A741B6" w:rsidRPr="009C6C17" w:rsidRDefault="00A741B6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rStyle w:val="hps"/>
                <w:color w:val="000000" w:themeColor="text1"/>
                <w:sz w:val="22"/>
                <w:szCs w:val="22"/>
              </w:rPr>
              <w:t xml:space="preserve">K1. </w:t>
            </w:r>
            <w:r w:rsidRPr="009C6C17">
              <w:rPr>
                <w:color w:val="000000" w:themeColor="text1"/>
                <w:sz w:val="22"/>
                <w:szCs w:val="22"/>
              </w:rPr>
              <w:t xml:space="preserve">Ma świadomość znaczenia zdobytych umiejętności oraz wiedzy </w:t>
            </w:r>
          </w:p>
        </w:tc>
      </w:tr>
      <w:tr w:rsidR="00A741B6" w:rsidRPr="003305C4" w14:paraId="6332C22B" w14:textId="77777777" w:rsidTr="00DB1AC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A741B6" w:rsidRPr="003305C4" w:rsidRDefault="00A741B6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327150BD" w:rsidR="00A741B6" w:rsidRPr="009C6C17" w:rsidRDefault="00A741B6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741B6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A741B6" w:rsidRPr="003305C4" w:rsidRDefault="00A741B6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0903402E" w:rsidR="00A741B6" w:rsidRPr="009C6C17" w:rsidRDefault="004540B2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Zaliczenie przedmiotów: Żywienie zwierząt, Paszoznawstwo, Higiena Zwierząt, Fizjologia zwierząt</w:t>
            </w:r>
          </w:p>
        </w:tc>
      </w:tr>
      <w:tr w:rsidR="00A741B6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A741B6" w:rsidRPr="003305C4" w:rsidRDefault="00A741B6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A741B6" w:rsidRPr="003305C4" w:rsidRDefault="00A741B6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1FB814EB" w:rsidR="00A741B6" w:rsidRPr="009C6C17" w:rsidRDefault="00583943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Czynniki warunkujące jakość zdrowotną żywności (składniki pokarmowe, źródła skażeń i klasyfikacja zanieczyszczeń żywności, substancje dodatkowe w </w:t>
            </w:r>
            <w:r w:rsidRPr="009C6C17">
              <w:rPr>
                <w:color w:val="000000" w:themeColor="text1"/>
                <w:sz w:val="22"/>
                <w:szCs w:val="22"/>
              </w:rPr>
              <w:lastRenderedPageBreak/>
              <w:t>żywności); Skażenia i zanieczyszczenia pasz; Jakość pasz a jakość żywności pochodzenia zwierzęcego; Żywność bezpieczna dla zdrowia; Zatrucia i zakażenia pokarmowe; Prawo żywnościowe dotyczące bezpieczeństwa pasz i żywności w Polsce i w krajach Unii Europejskiej; Podstawowe systemy zapewnienia bezpieczeństwa zdrowotnego i odpowiedniej jakości żywności podczas jej produkcji i przetwarzania; Warunki produkcji oraz znakowania poszczególnych grup produktów spożywczych.</w:t>
            </w:r>
          </w:p>
        </w:tc>
      </w:tr>
      <w:tr w:rsidR="00A741B6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A741B6" w:rsidRPr="003305C4" w:rsidRDefault="00A741B6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1D54D8" w14:textId="77777777" w:rsidR="00A741B6" w:rsidRPr="009C6C17" w:rsidRDefault="00A741B6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Należy podać literaturę wymaganą i zalecaną do zaliczenia modułu</w:t>
            </w:r>
          </w:p>
          <w:p w14:paraId="6B379AC3" w14:textId="11CFF1FB" w:rsidR="004540B2" w:rsidRPr="009C6C17" w:rsidRDefault="004540B2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Literatura podstawowa:</w:t>
            </w:r>
          </w:p>
          <w:p w14:paraId="41B4EBAE" w14:textId="77777777" w:rsidR="004540B2" w:rsidRPr="009C6C17" w:rsidRDefault="004540B2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1. Jarosz M., Bułhak-Jachymczyk B. (Red.) Normy żywienia człowieka. Podstawy prewencji otyłości i chorób niezakaźnych. Wyd. PZWL, Warszawa, 2008.</w:t>
            </w:r>
          </w:p>
          <w:p w14:paraId="10BDDD4F" w14:textId="457FF73F" w:rsidR="004540B2" w:rsidRPr="009C6C17" w:rsidRDefault="004540B2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2. Pietruszka B., Roszkowska H., Roszkowski W. Zastosowanie epidemiologii w badaniach żywieniowych. Przewodnik do ćwiczeń. Wyd. SGGW, Warszawa, 2001.</w:t>
            </w:r>
          </w:p>
          <w:p w14:paraId="5EDFDD5D" w14:textId="35B26841" w:rsidR="004540B2" w:rsidRPr="009C6C17" w:rsidRDefault="004540B2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3. Wieland A. (Red.). Praktyka higieny żywienia i żywności. Poradnik dla kierowników placówek handlowych, gastronomicznych oraz przemysłu spożywczego. Wyd. Forum, Poznań, 2004.</w:t>
            </w:r>
          </w:p>
          <w:p w14:paraId="3D29A8B7" w14:textId="15F49807" w:rsidR="004540B2" w:rsidRPr="009C6C17" w:rsidRDefault="004540B2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4. Kołożyn-Krajewska D. (Red.). Higiena produkcji żywności. Wyd. SGGW, Warszawa, 2007.</w:t>
            </w:r>
          </w:p>
          <w:p w14:paraId="5C993B9E" w14:textId="1295386F" w:rsidR="00A741B6" w:rsidRPr="009C6C17" w:rsidRDefault="00A741B6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Literatura uzupełniająca: </w:t>
            </w:r>
          </w:p>
          <w:p w14:paraId="00E53CAC" w14:textId="41097FCF" w:rsidR="004540B2" w:rsidRPr="009C6C17" w:rsidRDefault="004540B2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1. Hasik J., Gawęcki J. (Red.). Żywienie człowieka zdrowego i chorego. Wyd. PWN, Warszawa, 2009.</w:t>
            </w:r>
          </w:p>
          <w:p w14:paraId="374E5AF8" w14:textId="518C6897" w:rsidR="004540B2" w:rsidRPr="009C6C17" w:rsidRDefault="004540B2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2. Gawęcki J., Roszkowski W. Żywienie człowieka a zdrowie publiczne. Wyd. PWN, Warszawa,  2009.</w:t>
            </w:r>
          </w:p>
        </w:tc>
      </w:tr>
      <w:tr w:rsidR="00A741B6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A741B6" w:rsidRPr="003305C4" w:rsidRDefault="00A741B6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7B95B82C" w:rsidR="00A741B6" w:rsidRPr="009C6C17" w:rsidRDefault="004540B2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Wykład problemowy, dyskusja panelowa, wykonanie projektu badawczego, prezentacje własne studentów</w:t>
            </w:r>
          </w:p>
        </w:tc>
      </w:tr>
      <w:tr w:rsidR="00A741B6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A741B6" w:rsidRPr="003305C4" w:rsidRDefault="00A741B6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391D982" w14:textId="77777777" w:rsidR="000A0BD0" w:rsidRPr="009C6C17" w:rsidRDefault="000A0BD0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Sposoby weryfikowania efektów kształcenia:</w:t>
            </w:r>
          </w:p>
          <w:p w14:paraId="0E04F36A" w14:textId="5F8ECB0B" w:rsidR="00773DBA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W1 – sprawdzian pisemny, udział w dyskusji</w:t>
            </w:r>
          </w:p>
          <w:p w14:paraId="6EFAED3E" w14:textId="77777777" w:rsidR="00773DBA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U1 – ocena realizacji zadania projektowego</w:t>
            </w:r>
          </w:p>
          <w:p w14:paraId="2B6C4528" w14:textId="77777777" w:rsidR="00773DBA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U2 – ocena prezentacji zadania projektowego i jego obrony</w:t>
            </w:r>
          </w:p>
          <w:p w14:paraId="3D1F4865" w14:textId="77777777" w:rsidR="00773DBA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K1 - ocena pytań otwartych na sprawdzianie</w:t>
            </w:r>
          </w:p>
          <w:p w14:paraId="672C60F1" w14:textId="77777777" w:rsidR="00773DBA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897E3D1" w14:textId="7429158B" w:rsidR="00773DBA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9C6C17">
              <w:rPr>
                <w:color w:val="000000" w:themeColor="text1"/>
                <w:sz w:val="22"/>
                <w:szCs w:val="22"/>
              </w:rPr>
              <w:t xml:space="preserve"> w formie: </w:t>
            </w:r>
          </w:p>
          <w:p w14:paraId="5866B24C" w14:textId="160B86BF" w:rsidR="00773DBA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  <w:u w:val="single"/>
              </w:rPr>
              <w:t>prace etapowe</w:t>
            </w:r>
            <w:r w:rsidRPr="009C6C17">
              <w:rPr>
                <w:color w:val="000000" w:themeColor="text1"/>
                <w:sz w:val="22"/>
                <w:szCs w:val="22"/>
              </w:rPr>
              <w:t xml:space="preserve">: projekty, opis zadań wykonywanych na  ćwiczeniach itp. </w:t>
            </w:r>
          </w:p>
          <w:p w14:paraId="47704B23" w14:textId="71483063" w:rsidR="00773DBA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  <w:u w:val="single"/>
              </w:rPr>
              <w:t>prace końcowe</w:t>
            </w:r>
            <w:r w:rsidRPr="009C6C17">
              <w:rPr>
                <w:color w:val="000000" w:themeColor="text1"/>
                <w:sz w:val="22"/>
                <w:szCs w:val="22"/>
              </w:rPr>
              <w:t>: egzamin, prezentacja projektu archiwizowanie w formie papierowej lub cyfrowej; dziennik prowadzącego</w:t>
            </w:r>
          </w:p>
          <w:p w14:paraId="65407301" w14:textId="77777777" w:rsidR="00A741B6" w:rsidRPr="009C6C17" w:rsidRDefault="00A741B6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7596CD2" w14:textId="77777777" w:rsidR="00773DBA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Szczegółowe kryteria przy ocenie egzaminów i prac kontrolnych</w:t>
            </w:r>
          </w:p>
          <w:p w14:paraId="4CB09240" w14:textId="77777777" w:rsidR="00773DBA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2CE7728C" w14:textId="77777777" w:rsidR="00773DBA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2) student wykazuje dostateczny plus (3,5) stopień </w:t>
            </w:r>
            <w:r w:rsidRPr="009C6C17">
              <w:rPr>
                <w:color w:val="000000" w:themeColor="text1"/>
                <w:sz w:val="22"/>
                <w:szCs w:val="22"/>
              </w:rPr>
              <w:lastRenderedPageBreak/>
              <w:t xml:space="preserve">wiedzy lub umiejętności, gdy uzyskuje od 61 do 70% sumy punktów określających maksymalny poziom wiedzy lub umiejętności z danego przedmiotu (odpowiednio – jego części), </w:t>
            </w:r>
          </w:p>
          <w:p w14:paraId="462241C5" w14:textId="77777777" w:rsidR="00773DBA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2B420566" w14:textId="77777777" w:rsidR="00773DBA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34406EC5" w14:textId="1ED5E3F0" w:rsidR="00A741B6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5) 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14:paraId="6544D23B" w14:textId="76DF6FF4" w:rsidR="00A741B6" w:rsidRPr="009C6C17" w:rsidRDefault="00A741B6" w:rsidP="009C6C17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A741B6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A741B6" w:rsidRPr="003305C4" w:rsidRDefault="00A741B6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A741B6" w:rsidRPr="003305C4" w:rsidRDefault="00A741B6" w:rsidP="00D2747A">
            <w:pPr>
              <w:rPr>
                <w:sz w:val="22"/>
                <w:szCs w:val="22"/>
              </w:rPr>
            </w:pPr>
          </w:p>
          <w:p w14:paraId="6D4F54D5" w14:textId="77777777" w:rsidR="00A741B6" w:rsidRPr="003305C4" w:rsidRDefault="00A741B6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FA3D710" w14:textId="77777777" w:rsidR="00773DBA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Ocena z ćwiczeń – średnia arytmetyczna ocen z kart pracy oraz oceny z realizacji i prezentacji projektu;</w:t>
            </w:r>
          </w:p>
          <w:p w14:paraId="4B7E71F4" w14:textId="77777777" w:rsidR="00773DBA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Ocena końcowa – ocena z zaliczenia pisemnego 60% + 40% ocena z ćwiczeń.</w:t>
            </w:r>
          </w:p>
          <w:p w14:paraId="3C54574E" w14:textId="4CE68245" w:rsidR="00A741B6" w:rsidRPr="009C6C17" w:rsidRDefault="00773DBA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A741B6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A741B6" w:rsidRPr="003305C4" w:rsidRDefault="00A741B6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5E497B2" w14:textId="77777777" w:rsidR="009C6C17" w:rsidRPr="009C6C17" w:rsidRDefault="009C6C17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0D9C8087" w14:textId="77777777" w:rsidR="009C6C17" w:rsidRPr="009C6C17" w:rsidRDefault="009C6C17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47FB6DFE" w14:textId="77777777" w:rsidR="009C6C17" w:rsidRPr="009C6C17" w:rsidRDefault="009C6C17" w:rsidP="009C6C17">
            <w:pPr>
              <w:pStyle w:val="Akapitzlist"/>
              <w:numPr>
                <w:ilvl w:val="0"/>
                <w:numId w:val="6"/>
              </w:numPr>
              <w:ind w:left="309"/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wykład (15 godz./0,6 ECTS), </w:t>
            </w:r>
          </w:p>
          <w:p w14:paraId="13B796E6" w14:textId="77777777" w:rsidR="009C6C17" w:rsidRPr="009C6C17" w:rsidRDefault="009C6C17" w:rsidP="009C6C17">
            <w:pPr>
              <w:pStyle w:val="Akapitzlist"/>
              <w:numPr>
                <w:ilvl w:val="0"/>
                <w:numId w:val="6"/>
              </w:numPr>
              <w:ind w:left="309"/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ćwiczenia (30 godz./1,2 ECTS), </w:t>
            </w:r>
          </w:p>
          <w:p w14:paraId="05249F12" w14:textId="77777777" w:rsidR="009C6C17" w:rsidRPr="009C6C17" w:rsidRDefault="009C6C17" w:rsidP="009C6C17">
            <w:pPr>
              <w:pStyle w:val="Akapitzlist"/>
              <w:numPr>
                <w:ilvl w:val="0"/>
                <w:numId w:val="6"/>
              </w:numPr>
              <w:ind w:left="309"/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konsultacje (3 godz./0,08 ECTS), </w:t>
            </w:r>
          </w:p>
          <w:p w14:paraId="68F71AC7" w14:textId="77777777" w:rsidR="009C6C17" w:rsidRPr="009C6C17" w:rsidRDefault="009C6C17" w:rsidP="009C6C17">
            <w:pPr>
              <w:ind w:left="-51"/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Łącznie – 48 godz./1,92 ECTS</w:t>
            </w:r>
          </w:p>
          <w:p w14:paraId="6ACB28B2" w14:textId="77777777" w:rsidR="009C6C17" w:rsidRPr="009C6C17" w:rsidRDefault="009C6C17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EE51DCB" w14:textId="77777777" w:rsidR="009C6C17" w:rsidRPr="009C6C17" w:rsidRDefault="009C6C17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Niekontaktowe</w:t>
            </w:r>
          </w:p>
          <w:p w14:paraId="06B4A23B" w14:textId="77777777" w:rsidR="009C6C17" w:rsidRPr="009C6C17" w:rsidRDefault="009C6C17" w:rsidP="009C6C17">
            <w:pPr>
              <w:pStyle w:val="Akapitzlist"/>
              <w:numPr>
                <w:ilvl w:val="0"/>
                <w:numId w:val="7"/>
              </w:numPr>
              <w:ind w:left="309"/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przygotowanie do zajęć (5 godz./0,2 ECTS),</w:t>
            </w:r>
          </w:p>
          <w:p w14:paraId="5AC06EB9" w14:textId="77777777" w:rsidR="009C6C17" w:rsidRPr="009C6C17" w:rsidRDefault="009C6C17" w:rsidP="009C6C17">
            <w:pPr>
              <w:pStyle w:val="Akapitzlist"/>
              <w:numPr>
                <w:ilvl w:val="0"/>
                <w:numId w:val="7"/>
              </w:numPr>
              <w:ind w:left="309"/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przygotowanie doświadczenia – projektu (10 godz. /0,4 ECTS)</w:t>
            </w:r>
          </w:p>
          <w:p w14:paraId="23649F60" w14:textId="77777777" w:rsidR="009C6C17" w:rsidRPr="009C6C17" w:rsidRDefault="009C6C17" w:rsidP="009C6C17">
            <w:pPr>
              <w:pStyle w:val="Akapitzlist"/>
              <w:numPr>
                <w:ilvl w:val="0"/>
                <w:numId w:val="7"/>
              </w:numPr>
              <w:ind w:left="309"/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studiowanie literatury (12 godz./0,48 ECTS),</w:t>
            </w:r>
          </w:p>
          <w:p w14:paraId="66E2973E" w14:textId="6642FC7D" w:rsidR="00A741B6" w:rsidRPr="009C6C17" w:rsidRDefault="009C6C17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>Łącznie 27 godz./1,08 ECTS</w:t>
            </w:r>
          </w:p>
        </w:tc>
      </w:tr>
      <w:tr w:rsidR="00A741B6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57782E19" w:rsidR="00A741B6" w:rsidRPr="003305C4" w:rsidRDefault="00A741B6" w:rsidP="00CD304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04A37ED0" w:rsidR="00311A27" w:rsidRPr="009C6C17" w:rsidRDefault="00311A27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Udział w wykładach - 15 godz., w ćwiczeniach - 30 godz.,  konsultacjach - </w:t>
            </w:r>
            <w:r w:rsidR="00D65FFB" w:rsidRPr="009C6C17">
              <w:rPr>
                <w:color w:val="000000" w:themeColor="text1"/>
                <w:sz w:val="22"/>
                <w:szCs w:val="22"/>
              </w:rPr>
              <w:t>3</w:t>
            </w:r>
            <w:r w:rsidRPr="009C6C17">
              <w:rPr>
                <w:color w:val="000000" w:themeColor="text1"/>
                <w:sz w:val="22"/>
                <w:szCs w:val="22"/>
              </w:rPr>
              <w:t xml:space="preserve"> godz. </w:t>
            </w:r>
          </w:p>
        </w:tc>
      </w:tr>
      <w:tr w:rsidR="00A741B6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A741B6" w:rsidRPr="003305C4" w:rsidRDefault="00A741B6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D9F5C1" w14:textId="6AA5C723" w:rsidR="00A741B6" w:rsidRPr="009C6C17" w:rsidRDefault="00A741B6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W1 – </w:t>
            </w:r>
            <w:r w:rsidR="00F20877" w:rsidRPr="009C6C17">
              <w:rPr>
                <w:color w:val="000000" w:themeColor="text1"/>
                <w:sz w:val="22"/>
                <w:szCs w:val="22"/>
              </w:rPr>
              <w:t>BH_W03, BH_W04</w:t>
            </w:r>
          </w:p>
          <w:p w14:paraId="18B5D677" w14:textId="103469E0" w:rsidR="00A741B6" w:rsidRPr="009C6C17" w:rsidRDefault="00A741B6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U1 – </w:t>
            </w:r>
            <w:r w:rsidR="00F20877" w:rsidRPr="009C6C17">
              <w:rPr>
                <w:color w:val="000000" w:themeColor="text1"/>
                <w:sz w:val="22"/>
                <w:szCs w:val="22"/>
              </w:rPr>
              <w:t>BH_U03</w:t>
            </w:r>
          </w:p>
          <w:p w14:paraId="38CD8534" w14:textId="105D0413" w:rsidR="00A741B6" w:rsidRPr="009C6C17" w:rsidRDefault="00A741B6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U2 – </w:t>
            </w:r>
            <w:r w:rsidR="003351DD" w:rsidRPr="009C6C17">
              <w:rPr>
                <w:color w:val="000000" w:themeColor="text1"/>
                <w:sz w:val="22"/>
                <w:szCs w:val="22"/>
              </w:rPr>
              <w:t>BH_U08</w:t>
            </w:r>
          </w:p>
          <w:p w14:paraId="031BE69F" w14:textId="77777777" w:rsidR="00A741B6" w:rsidRDefault="00A741B6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C17">
              <w:rPr>
                <w:color w:val="000000" w:themeColor="text1"/>
                <w:sz w:val="22"/>
                <w:szCs w:val="22"/>
              </w:rPr>
              <w:t xml:space="preserve">K1 – </w:t>
            </w:r>
            <w:r w:rsidR="003351DD" w:rsidRPr="009C6C17">
              <w:rPr>
                <w:color w:val="000000" w:themeColor="text1"/>
                <w:sz w:val="22"/>
                <w:szCs w:val="22"/>
              </w:rPr>
              <w:t>BH_K05</w:t>
            </w:r>
          </w:p>
          <w:p w14:paraId="12F16102" w14:textId="35530ED6" w:rsidR="00DB35A9" w:rsidRPr="009C6C17" w:rsidRDefault="00DB35A9" w:rsidP="009C6C1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InzBH_U03</w:t>
            </w:r>
            <w:bookmarkStart w:id="0" w:name="_GoBack"/>
            <w:bookmarkEnd w:id="0"/>
          </w:p>
        </w:tc>
      </w:tr>
    </w:tbl>
    <w:p w14:paraId="5955A7B3" w14:textId="77777777" w:rsidR="00F82B32" w:rsidRPr="003305C4" w:rsidRDefault="00F82B32" w:rsidP="00560285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8C080" w14:textId="77777777" w:rsidR="00D6323F" w:rsidRDefault="00D6323F" w:rsidP="008D17BD">
      <w:r>
        <w:separator/>
      </w:r>
    </w:p>
  </w:endnote>
  <w:endnote w:type="continuationSeparator" w:id="0">
    <w:p w14:paraId="271BDA4D" w14:textId="77777777" w:rsidR="00D6323F" w:rsidRDefault="00D6323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8897AEE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B35A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B35A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630D9" w14:textId="77777777" w:rsidR="00D6323F" w:rsidRDefault="00D6323F" w:rsidP="008D17BD">
      <w:r>
        <w:separator/>
      </w:r>
    </w:p>
  </w:footnote>
  <w:footnote w:type="continuationSeparator" w:id="0">
    <w:p w14:paraId="50223100" w14:textId="77777777" w:rsidR="00D6323F" w:rsidRDefault="00D6323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F4553C1"/>
    <w:multiLevelType w:val="hybridMultilevel"/>
    <w:tmpl w:val="CFDCE02E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46661"/>
    <w:multiLevelType w:val="hybridMultilevel"/>
    <w:tmpl w:val="D0305F52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077C6"/>
    <w:rsid w:val="00023A99"/>
    <w:rsid w:val="0005376E"/>
    <w:rsid w:val="000A0BD0"/>
    <w:rsid w:val="000D45C2"/>
    <w:rsid w:val="000F587A"/>
    <w:rsid w:val="00101F00"/>
    <w:rsid w:val="00120398"/>
    <w:rsid w:val="00123155"/>
    <w:rsid w:val="001E3DC3"/>
    <w:rsid w:val="001F2D6D"/>
    <w:rsid w:val="001F4E9C"/>
    <w:rsid w:val="00206860"/>
    <w:rsid w:val="00207270"/>
    <w:rsid w:val="00271DE5"/>
    <w:rsid w:val="002835BD"/>
    <w:rsid w:val="00283678"/>
    <w:rsid w:val="002E256F"/>
    <w:rsid w:val="002E4043"/>
    <w:rsid w:val="00311A27"/>
    <w:rsid w:val="0032739E"/>
    <w:rsid w:val="003305C4"/>
    <w:rsid w:val="003351DD"/>
    <w:rsid w:val="003853C3"/>
    <w:rsid w:val="00386491"/>
    <w:rsid w:val="003B32BF"/>
    <w:rsid w:val="004540B2"/>
    <w:rsid w:val="00455EAD"/>
    <w:rsid w:val="00457679"/>
    <w:rsid w:val="004867B8"/>
    <w:rsid w:val="004B189D"/>
    <w:rsid w:val="004D3DDF"/>
    <w:rsid w:val="004E014A"/>
    <w:rsid w:val="00500899"/>
    <w:rsid w:val="00560285"/>
    <w:rsid w:val="0057184E"/>
    <w:rsid w:val="00583943"/>
    <w:rsid w:val="00584EE9"/>
    <w:rsid w:val="005869D2"/>
    <w:rsid w:val="00586CEC"/>
    <w:rsid w:val="00592A99"/>
    <w:rsid w:val="005C75BE"/>
    <w:rsid w:val="0063487A"/>
    <w:rsid w:val="006742BC"/>
    <w:rsid w:val="006E62D3"/>
    <w:rsid w:val="006F3573"/>
    <w:rsid w:val="00773DBA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B294B"/>
    <w:rsid w:val="009C2572"/>
    <w:rsid w:val="009C6C17"/>
    <w:rsid w:val="009E49CA"/>
    <w:rsid w:val="00A25D78"/>
    <w:rsid w:val="00A27747"/>
    <w:rsid w:val="00A6673A"/>
    <w:rsid w:val="00A741B6"/>
    <w:rsid w:val="00AA02DB"/>
    <w:rsid w:val="00AA7215"/>
    <w:rsid w:val="00AD6F61"/>
    <w:rsid w:val="00AF5A49"/>
    <w:rsid w:val="00B13DDF"/>
    <w:rsid w:val="00B32323"/>
    <w:rsid w:val="00B400C0"/>
    <w:rsid w:val="00B742CE"/>
    <w:rsid w:val="00BA2E91"/>
    <w:rsid w:val="00BF20FE"/>
    <w:rsid w:val="00BF5620"/>
    <w:rsid w:val="00CD3047"/>
    <w:rsid w:val="00CD423D"/>
    <w:rsid w:val="00D00A94"/>
    <w:rsid w:val="00D26494"/>
    <w:rsid w:val="00D2747A"/>
    <w:rsid w:val="00D552F8"/>
    <w:rsid w:val="00D6323F"/>
    <w:rsid w:val="00D65FFB"/>
    <w:rsid w:val="00DB35A9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0877"/>
    <w:rsid w:val="00F2295C"/>
    <w:rsid w:val="00F46BE5"/>
    <w:rsid w:val="00F760B4"/>
    <w:rsid w:val="00F82B32"/>
    <w:rsid w:val="00FB0556"/>
    <w:rsid w:val="00FB1267"/>
    <w:rsid w:val="00F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3BC81A7-706A-41B4-96CC-7D491890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AF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6C29-5ACC-49C2-BCD8-E264C79E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7</cp:revision>
  <cp:lastPrinted>2021-07-01T08:34:00Z</cp:lastPrinted>
  <dcterms:created xsi:type="dcterms:W3CDTF">2022-07-11T08:16:00Z</dcterms:created>
  <dcterms:modified xsi:type="dcterms:W3CDTF">2024-03-20T08:25:00Z</dcterms:modified>
</cp:coreProperties>
</file>