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6D52326B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1E0C8C63" w:rsidR="00023A99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2A79BC" w:rsidRPr="004A0C5F" w14:paraId="06C8ECF4" w14:textId="77777777" w:rsidTr="00FB37AD">
        <w:tc>
          <w:tcPr>
            <w:tcW w:w="3942" w:type="dxa"/>
            <w:shd w:val="clear" w:color="auto" w:fill="auto"/>
            <w:vAlign w:val="center"/>
          </w:tcPr>
          <w:p w14:paraId="44391272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F81ED59" w14:textId="4A138345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Bezpieczeństwo i higiena pracy w łowiectwie</w:t>
            </w:r>
          </w:p>
          <w:p w14:paraId="5C85743B" w14:textId="7AE85E98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31FF6">
              <w:rPr>
                <w:color w:val="000000" w:themeColor="text1"/>
                <w:sz w:val="22"/>
                <w:szCs w:val="22"/>
                <w:lang w:val="en-US"/>
              </w:rPr>
              <w:t>Occupation health and safety in hunting</w:t>
            </w:r>
          </w:p>
        </w:tc>
      </w:tr>
      <w:tr w:rsidR="002A79BC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43C049A1" w:rsidR="002A79BC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2A79BC" w:rsidRPr="00D31FF6">
              <w:rPr>
                <w:color w:val="000000" w:themeColor="text1"/>
                <w:sz w:val="22"/>
                <w:szCs w:val="22"/>
              </w:rPr>
              <w:t>olski</w:t>
            </w:r>
          </w:p>
        </w:tc>
      </w:tr>
      <w:tr w:rsidR="002A79BC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8F1C99F" w:rsidR="002A79BC" w:rsidRPr="00D31FF6" w:rsidRDefault="00257E54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2A79BC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68138371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2A79BC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624901C" w:rsidR="002A79BC" w:rsidRPr="00D31FF6" w:rsidRDefault="003F4838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nie</w:t>
            </w:r>
            <w:r w:rsidR="002A79BC" w:rsidRPr="00D31FF6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2A79BC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B76FD69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2A79BC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EE48E92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A79BC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ED1D2FE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2 (0,</w:t>
            </w:r>
            <w:r w:rsidR="003F4838" w:rsidRPr="00D31FF6">
              <w:rPr>
                <w:color w:val="000000" w:themeColor="text1"/>
                <w:sz w:val="22"/>
                <w:szCs w:val="22"/>
              </w:rPr>
              <w:t>6</w:t>
            </w:r>
            <w:r w:rsidRPr="00D31FF6">
              <w:rPr>
                <w:color w:val="000000" w:themeColor="text1"/>
                <w:sz w:val="22"/>
                <w:szCs w:val="22"/>
              </w:rPr>
              <w:t>4/1,</w:t>
            </w:r>
            <w:r w:rsidR="003F4838" w:rsidRPr="00D31FF6">
              <w:rPr>
                <w:color w:val="000000" w:themeColor="text1"/>
                <w:sz w:val="22"/>
                <w:szCs w:val="22"/>
              </w:rPr>
              <w:t>3</w:t>
            </w:r>
            <w:r w:rsidRPr="00D31FF6">
              <w:rPr>
                <w:color w:val="000000" w:themeColor="text1"/>
                <w:sz w:val="22"/>
                <w:szCs w:val="22"/>
              </w:rPr>
              <w:t>6)</w:t>
            </w:r>
          </w:p>
        </w:tc>
      </w:tr>
      <w:tr w:rsidR="002A79BC" w:rsidRPr="002A79BC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2A79BC" w:rsidRPr="003305C4" w:rsidRDefault="002A79BC" w:rsidP="002A7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307A9BE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dr hab. Marian Flis, profesor uczelni</w:t>
            </w:r>
          </w:p>
        </w:tc>
      </w:tr>
      <w:tr w:rsidR="002A79BC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E9ABF86" w14:textId="77777777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Katedra Etologii Zwierząt i Łowiectwa</w:t>
            </w:r>
          </w:p>
          <w:p w14:paraId="1381CDA7" w14:textId="596AA904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Zakład Gospodarki Łowieckiej</w:t>
            </w:r>
          </w:p>
        </w:tc>
      </w:tr>
      <w:tr w:rsidR="002A79BC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4DA8F0DA" w:rsidR="002A79BC" w:rsidRPr="00D31FF6" w:rsidRDefault="002A79BC" w:rsidP="00D31F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Celem kształcenia jest zapoznanie studentów z aktualną teoretyczną i praktyczną znajomością zagadnień związanych z elementami bezpieczeństwa i higieny pracy przy prowadzeniu działań w zakresie gospodarki łowieckiej. Problematyka ta obejmuje zasady właściwego postępowania przy działaniach związanych z wykonywaniem prac z zakresu gospodarki łowieckiej ze szczególnym uwzględnieniem warunków wykonywania polowania w zróżnicowanych strukturach ekosystemów. Zapoznanie z wiedzą dotyczącą nowoczesnych narzędzi w zakresie kształtowania warunków i środowiska pracy.</w:t>
            </w:r>
          </w:p>
        </w:tc>
      </w:tr>
      <w:tr w:rsidR="002A79BC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A79BC" w:rsidRPr="003305C4" w:rsidRDefault="002A79BC" w:rsidP="002A79B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2A79BC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A860A6B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W1. Ma wiedzę na temat środowiska naturalnego w tym z zakresu zasad prowadzenia gospodarki łowieckiej.</w:t>
            </w:r>
          </w:p>
        </w:tc>
      </w:tr>
      <w:tr w:rsidR="002A79BC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F9E61C8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 xml:space="preserve">W2. Ma wiedzę ogólną z zakresu funkcjonowania organizmów żywych i przyrody nieożywionej oraz podstawowych prac oraz źródeł zagrożenia przy wykonywaniu podstawowych czynności związanych z prowadzeniem gospodarki łowieckiej. </w:t>
            </w:r>
          </w:p>
        </w:tc>
      </w:tr>
      <w:tr w:rsidR="002A79BC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99DE2FF" w:rsidR="002A79BC" w:rsidRPr="00D31FF6" w:rsidRDefault="0004752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W3. Ma wiedzę na tematy związane z prawnymi aspektami zasad bezpieczeństwa i higieny pracy w łowiectwie.</w:t>
            </w:r>
          </w:p>
        </w:tc>
      </w:tr>
      <w:tr w:rsidR="002A79BC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2A79BC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476C477" w:rsidR="002A79BC" w:rsidRPr="00D31FF6" w:rsidRDefault="0004752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U1. Potrafi analizować i oceniać przebieg procesów przyrodniczych oraz różnokierunkowych prac związanych z gospodarką łowiecką, jak również potrafi zaproponować działania korygujące i profilaktyczne.</w:t>
            </w:r>
          </w:p>
        </w:tc>
      </w:tr>
      <w:tr w:rsidR="002A79BC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8F208A8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U2. Posiada umiejętność przygotowania wystąpień ustnych, dotyczących zagadnień szczegółowych, z wykorzystaniem podstawowych branżowych pojęć teoretycznych i źródeł informacji.</w:t>
            </w:r>
          </w:p>
        </w:tc>
      </w:tr>
      <w:tr w:rsidR="002A79BC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3895D461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 xml:space="preserve">U3. Ma przygotowanie niezbędne do pracy w środowisku naturalnym oraz zna zasady bezpieczeństwa związane z działaniami z zakresu gospodarki łowieckiej, ze </w:t>
            </w:r>
            <w:r w:rsidRPr="00D31FF6">
              <w:rPr>
                <w:color w:val="000000" w:themeColor="text1"/>
                <w:sz w:val="22"/>
                <w:szCs w:val="22"/>
              </w:rPr>
              <w:lastRenderedPageBreak/>
              <w:t>szczególnym uwzględnieniem zasad bezpieczeństwa na polowaniach, opartych na obowiązującym regulaminie.</w:t>
            </w:r>
          </w:p>
        </w:tc>
      </w:tr>
      <w:tr w:rsidR="002A79BC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A79BC" w:rsidRPr="00D31FF6" w:rsidRDefault="002A79BC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2A79B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33BD83EE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K1. Potrafi organizować grupowe zajęcia i szkolenia związane z podnoszeniem wiedzy teoretycznej i zagadnień praktycznych w zakresie bezpieczeństwa i higieny pracy w łowiectwie oraz jest świadomy konieczności współpracy z organizacjami kontroli i nadzoru.</w:t>
            </w:r>
          </w:p>
        </w:tc>
      </w:tr>
      <w:tr w:rsidR="002A79B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A79BC" w:rsidRPr="003305C4" w:rsidRDefault="002A79BC" w:rsidP="002A79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4504BA91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K2. Ma świadomość znaczenia społecznej, zawodowej i etycznej odpowiedzialności za stan środowiska naturalnego i kształtowanie otoczenia pracy.</w:t>
            </w:r>
          </w:p>
        </w:tc>
      </w:tr>
      <w:tr w:rsidR="002A79BC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CF59C7C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pacing w:val="-5"/>
                <w:sz w:val="22"/>
                <w:szCs w:val="22"/>
              </w:rPr>
              <w:t>Pomoc przedmedyczna, Praw</w:t>
            </w:r>
            <w:r w:rsidR="003F4838" w:rsidRPr="00D31FF6">
              <w:rPr>
                <w:color w:val="000000" w:themeColor="text1"/>
                <w:spacing w:val="-5"/>
                <w:sz w:val="22"/>
                <w:szCs w:val="22"/>
              </w:rPr>
              <w:t>na ochrona pracy</w:t>
            </w:r>
          </w:p>
        </w:tc>
      </w:tr>
      <w:tr w:rsidR="002A79BC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A79BC" w:rsidRPr="003305C4" w:rsidRDefault="002A79BC" w:rsidP="002A79B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A79BC" w:rsidRPr="003305C4" w:rsidRDefault="002A79BC" w:rsidP="002A79B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654A56C5" w:rsidR="002A79BC" w:rsidRPr="00D31FF6" w:rsidRDefault="009C6B0F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 czasie realizowania przedmiotu przewidziane jest poruszanie problematyki związanej z zagadnieniami dotyczącymi zagrożeń w środowisku pracy w związku z prowadzeniem gospodarki łowieckiej. Zapoznanie z elementami ustalania stopnia zagrożeń przy wykonywaniu poszczególnych rodzajów prac, celem podjęcia ewentualnych działań ochronnych i profilaktycznych związanych z ograniczeniem lub wyeliminowaniem potencjalnych źródeł zagrożeń. Zapoznanie z podstawowymi technikami oceny stopnia zagrożeń. Nabycie umiejętności w zakresie organizacji polowań indywidualnych i zbiorowych z uwzględnieniem zasad bezpieczeństwa wynikających z regulaminu polowań.</w:t>
            </w:r>
          </w:p>
        </w:tc>
      </w:tr>
      <w:tr w:rsidR="00D31FF6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31FF6" w:rsidRPr="003305C4" w:rsidRDefault="00D31FF6" w:rsidP="00D31FF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7B20B63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346BB7A5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Flis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 M.,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Rataj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 B. 2018. Forensic traces in forensic and veterinary opinions in case of suspicion of poaching with firearms.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Archives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Medicine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Criminology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. Vol. 68 (4), ss. 232-241. </w:t>
            </w:r>
          </w:p>
          <w:p w14:paraId="23711740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Rozporządzenie Ministra Środowiska z dnia 23 marca 2005 roku w sprawie szczegółowych warunków wykonywania polowania i znakowania tusz. (Dz.U. 2005 nr 61 poz. 548 z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>. zmianami).</w:t>
            </w:r>
          </w:p>
          <w:p w14:paraId="4495B1B7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Flis M., Piórkowski J., Rataj B. 2020. Postrzał psa ze skutkiem śmiertelnym w efekcie rykoszetowania pocisku kulowego w czasie polowania w sądowym opiniowaniu weterynaryjno-balistycznym</w:t>
            </w:r>
            <w:r w:rsidRPr="008C3A11">
              <w:rPr>
                <w:rStyle w:val="tytul"/>
                <w:color w:val="000000" w:themeColor="text1"/>
                <w:sz w:val="22"/>
                <w:szCs w:val="22"/>
              </w:rPr>
              <w:t xml:space="preserve">. </w:t>
            </w:r>
            <w:r w:rsidRPr="008C3A11">
              <w:rPr>
                <w:color w:val="000000" w:themeColor="text1"/>
                <w:sz w:val="22"/>
                <w:szCs w:val="22"/>
              </w:rPr>
              <w:t>Medycyna Weterynaryjna. Vol. 76(11), 621-625.</w:t>
            </w:r>
          </w:p>
          <w:p w14:paraId="3DCF8D8D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Flis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 M.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Flis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  <w:lang w:val="en-GB"/>
              </w:rPr>
              <w:t xml:space="preserve"> A. 2021. </w:t>
            </w:r>
            <w:r w:rsidRPr="008C3A11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Differentiation of shots from hunting weapons with threaded barrels depending on the type of projectiles– forensic opinions. </w:t>
            </w:r>
            <w:r w:rsidRPr="008C3A11">
              <w:rPr>
                <w:color w:val="000000" w:themeColor="text1"/>
                <w:sz w:val="22"/>
                <w:szCs w:val="22"/>
                <w:lang w:val="en-GB"/>
              </w:rPr>
              <w:t>Archives of Forensic Medicine and Criminology</w:t>
            </w:r>
            <w:r w:rsidRPr="008C3A11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. Vol. 71(3-4) ss. 117-129. </w:t>
            </w:r>
          </w:p>
          <w:p w14:paraId="5E762C6B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Gembarzewski A., Matuszewski G. 2009. Postępowanie ze zwierzyna ubitą – Poradnik Myśliwego. Wyd. Świat. Warszawa.</w:t>
            </w:r>
          </w:p>
          <w:p w14:paraId="7692E8AC" w14:textId="77777777" w:rsidR="00D31FF6" w:rsidRPr="008C3A11" w:rsidRDefault="00D31FF6" w:rsidP="00D31FF6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Tropiło J. 2007. Badanie i ocena </w:t>
            </w: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sanitarno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weterynaryjna zwierząt łownych i dziczyzny. Wyd. Wieś Jutra. Warszawa.</w:t>
            </w:r>
          </w:p>
          <w:p w14:paraId="7CF50C96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Literatura uzupełniająca</w:t>
            </w:r>
          </w:p>
          <w:p w14:paraId="5FF0CB4E" w14:textId="77777777" w:rsidR="00D31FF6" w:rsidRPr="008C3A11" w:rsidRDefault="00D31FF6" w:rsidP="00D31FF6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Tropiło J. 1986. Badanie i ocena mięsa zwierząt łownych. Wyd. SGGW. Warszawa.</w:t>
            </w:r>
          </w:p>
          <w:p w14:paraId="33B45012" w14:textId="77777777" w:rsidR="00D31FF6" w:rsidRPr="008C3A11" w:rsidRDefault="00D31FF6" w:rsidP="00D31FF6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3A11">
              <w:rPr>
                <w:color w:val="000000" w:themeColor="text1"/>
                <w:sz w:val="22"/>
                <w:szCs w:val="22"/>
              </w:rPr>
              <w:t>Okarma</w:t>
            </w:r>
            <w:proofErr w:type="spellEnd"/>
            <w:r w:rsidRPr="008C3A11">
              <w:rPr>
                <w:color w:val="000000" w:themeColor="text1"/>
                <w:sz w:val="22"/>
                <w:szCs w:val="22"/>
              </w:rPr>
              <w:t xml:space="preserve"> H., Tomek A. 2008. Łowiectwo. Wyd. H</w:t>
            </w:r>
            <w:r w:rsidRPr="008C3A11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C3A11">
              <w:rPr>
                <w:color w:val="000000" w:themeColor="text1"/>
                <w:sz w:val="22"/>
                <w:szCs w:val="22"/>
              </w:rPr>
              <w:t>O. Kraków.</w:t>
            </w:r>
          </w:p>
          <w:p w14:paraId="27708920" w14:textId="77777777" w:rsidR="00D31FF6" w:rsidRPr="008C3A11" w:rsidRDefault="00D31FF6" w:rsidP="00D31FF6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lastRenderedPageBreak/>
              <w:t xml:space="preserve">Dzięciołowski R., Flis M. (red. naukowa) 2011. Łowiectwo. Wyd. Łowiec Polski Warszawa, tom I, tom II. </w:t>
            </w:r>
          </w:p>
          <w:p w14:paraId="374E5AF8" w14:textId="23494826" w:rsidR="00D31FF6" w:rsidRPr="00D31FF6" w:rsidRDefault="00D31FF6" w:rsidP="00D31FF6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Monografie dotyczące biologii gatunków zwierząt.</w:t>
            </w:r>
          </w:p>
        </w:tc>
      </w:tr>
      <w:tr w:rsidR="00D31FF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D31FF6" w:rsidRPr="003305C4" w:rsidRDefault="00D31FF6" w:rsidP="00D31FF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5E28D62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 zakresie metod dydaktycznych przewidziane są zajęcia wykładowe, jak również ćwiczenia audytoryjne i laboratoryjne. Dodatkowo w programie realizacji przedmiotu przewidziane są ćwiczenia terenowe, w czasie, których studenci będą mogli zapoznać się z praktycznymi aspektami bezpieczeństwa i higieny pracy w łowiectwie. Tematyka wykładów realizowana będzie w oparciu o przygotowane prezentacje multimedialne, w których umieszczone będą fotografie, schematy związane z metodykami oceny stopnia zagrożeń przy poszczególnych pracach i czynnościach oraz grupach czynności. W miarę możliwości tematycznych i technicznych przedstawiane będą wyniki najnowszych osiągnięć w zakresie działań profilaktycznych i ochronnych przy wykonywaniu polowań. W realizacji ćwiczeń przedstawione będą techniczne aspekty zagrożeń oraz technicznych działań profilaktycznych w zakresie omawianej tematyki.</w:t>
            </w:r>
          </w:p>
        </w:tc>
      </w:tr>
      <w:tr w:rsidR="00D31FF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D31FF6" w:rsidRPr="003305C4" w:rsidRDefault="00D31FF6" w:rsidP="00D31FF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034A0" w14:textId="7F28F3EF" w:rsidR="00814787" w:rsidRPr="00814787" w:rsidRDefault="00814787" w:rsidP="00814787">
            <w:pPr>
              <w:jc w:val="both"/>
              <w:rPr>
                <w:u w:val="single"/>
              </w:rPr>
            </w:pPr>
            <w:r w:rsidRPr="00DE4396">
              <w:rPr>
                <w:sz w:val="22"/>
                <w:szCs w:val="22"/>
                <w:u w:val="single"/>
              </w:rPr>
              <w:t>SPOSOBY WERYFIKACJI:</w:t>
            </w:r>
          </w:p>
          <w:p w14:paraId="4FB8CBD9" w14:textId="2AEEA6C2" w:rsidR="00D31FF6" w:rsidRPr="008C3A11" w:rsidRDefault="00D31FF6" w:rsidP="00D31FF6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W1, W2 i W3 – zaliczenie pisemne, ocena projektu</w:t>
            </w:r>
          </w:p>
          <w:p w14:paraId="7F713605" w14:textId="77777777" w:rsidR="00D31FF6" w:rsidRPr="008C3A11" w:rsidRDefault="00D31FF6" w:rsidP="00D31FF6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U1, U2 i U3 – udział w dyskusji zainicjowanej przez prowadzącego zajęcia, ocena projektu</w:t>
            </w:r>
          </w:p>
          <w:p w14:paraId="35325720" w14:textId="77777777" w:rsidR="00D31FF6" w:rsidRPr="008C3A11" w:rsidRDefault="00D31FF6" w:rsidP="00D31FF6">
            <w:pPr>
              <w:pStyle w:val="Akapitzlist"/>
              <w:ind w:left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K1 i K2 – udział w dyskusji, rozwiązywanie zagadnień problemowych</w:t>
            </w:r>
          </w:p>
          <w:p w14:paraId="67454376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39E1BA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8C3A11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329590EF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Ocena z zaliczenia, aktywności podczas zajęć, aktywności podczas ćwiczeń terenowych archiwizowanie w formie papierowej/cyfrowej; dziennik prowadzącego</w:t>
            </w:r>
          </w:p>
          <w:p w14:paraId="2EE5FE09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4F779C" w14:textId="77777777" w:rsidR="00D31FF6" w:rsidRPr="008C3A11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2BAC7B6F" w14:textId="77777777" w:rsidR="00D31FF6" w:rsidRPr="008C3A11" w:rsidRDefault="00D31FF6" w:rsidP="00D31FF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3080A0C" w14:textId="77777777" w:rsidR="00D31FF6" w:rsidRPr="008C3A11" w:rsidRDefault="00D31FF6" w:rsidP="00D31FF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6763518" w14:textId="77777777" w:rsidR="00D31FF6" w:rsidRPr="008C3A11" w:rsidRDefault="00D31FF6" w:rsidP="00D31FF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FDF9F2D" w14:textId="77777777" w:rsidR="00D31FF6" w:rsidRPr="008C3A11" w:rsidRDefault="00D31FF6" w:rsidP="00D31FF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8C3A11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70EA69CC" w14:textId="77777777" w:rsidR="00D31FF6" w:rsidRPr="008C3A11" w:rsidRDefault="00D31FF6" w:rsidP="00D31FF6">
            <w:pPr>
              <w:pStyle w:val="Akapitzlist"/>
              <w:ind w:left="142"/>
              <w:contextualSpacing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8C3A11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4F56CB0F" w:rsidR="00D31FF6" w:rsidRPr="00D31FF6" w:rsidRDefault="00D31FF6" w:rsidP="00D31FF6">
            <w:pPr>
              <w:pStyle w:val="Akapitzlist"/>
              <w:ind w:left="19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31FF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31FF6" w:rsidRPr="003305C4" w:rsidRDefault="00D31FF6" w:rsidP="00D31FF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D31FF6" w:rsidRPr="003305C4" w:rsidRDefault="00D31FF6" w:rsidP="00D31FF6">
            <w:pPr>
              <w:rPr>
                <w:sz w:val="22"/>
                <w:szCs w:val="22"/>
              </w:rPr>
            </w:pPr>
          </w:p>
          <w:p w14:paraId="6D4F54D5" w14:textId="77777777" w:rsidR="00D31FF6" w:rsidRPr="003305C4" w:rsidRDefault="00D31FF6" w:rsidP="00D31FF6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31740B9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Na ocenę końcową ma wpływ ocena z ćwiczeń (zaliczenie oraz ewentualne opracowanie projektu). Warunki te są przedstawiane i konsultowane ze studentami na pierwszym wykładzie.</w:t>
            </w:r>
          </w:p>
        </w:tc>
      </w:tr>
      <w:tr w:rsidR="00D31FF6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31FF6" w:rsidRPr="003305C4" w:rsidRDefault="00D31FF6" w:rsidP="00D31FF6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EFA1859" w14:textId="067069CB" w:rsid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Formy zajęć:</w:t>
            </w:r>
          </w:p>
          <w:p w14:paraId="3CDD9F94" w14:textId="419151C0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4787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374D142" w14:textId="4FA91327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wykłady (7 godz./0,28ECTS)</w:t>
            </w:r>
          </w:p>
          <w:p w14:paraId="2A270A87" w14:textId="4023BCC8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ćwiczenia (7 godz./0,28ECTS)</w:t>
            </w:r>
          </w:p>
          <w:p w14:paraId="3ECA142D" w14:textId="63EF1A93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konsultacje (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D31FF6">
              <w:rPr>
                <w:color w:val="000000" w:themeColor="text1"/>
                <w:sz w:val="22"/>
                <w:szCs w:val="22"/>
              </w:rPr>
              <w:t xml:space="preserve"> godz./0,0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D31FF6">
              <w:rPr>
                <w:color w:val="000000" w:themeColor="text1"/>
                <w:sz w:val="22"/>
                <w:szCs w:val="22"/>
              </w:rPr>
              <w:t>ECTS)</w:t>
            </w:r>
          </w:p>
          <w:p w14:paraId="40EA6601" w14:textId="13FFBF71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Łącznie 16 godz./0,64 ECTS</w:t>
            </w:r>
          </w:p>
          <w:p w14:paraId="1D3FD46C" w14:textId="463A6B55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4787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4A347A97" w14:textId="1AEE0EF4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przygotowanie do ćwiczeń (14 godz./0,56ECTS)</w:t>
            </w:r>
          </w:p>
          <w:p w14:paraId="39C06B93" w14:textId="0B33ACB9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przygotowanie projektu (10 godz./0,40ECTS)</w:t>
            </w:r>
          </w:p>
          <w:p w14:paraId="4193A23E" w14:textId="5875EBAE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studiowanie literatury (6 godz./0,24ECTS)</w:t>
            </w:r>
          </w:p>
          <w:p w14:paraId="101AF970" w14:textId="2E6D0721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- przygotowanie do zaliczenia (4 godz./0,16ECTS)</w:t>
            </w:r>
          </w:p>
          <w:p w14:paraId="66E2973E" w14:textId="75F5CD23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Łącznie 34 godz./1,36 ECTS</w:t>
            </w:r>
          </w:p>
        </w:tc>
      </w:tr>
      <w:tr w:rsidR="00D31FF6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D036D4" w:rsidR="00D31FF6" w:rsidRPr="003305C4" w:rsidRDefault="00D31FF6" w:rsidP="00D31FF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EEFD02" w14:textId="35D4E80A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udział w wykładach  - </w:t>
            </w:r>
            <w:r w:rsidRPr="00D31FF6">
              <w:rPr>
                <w:color w:val="000000" w:themeColor="text1"/>
                <w:sz w:val="22"/>
                <w:szCs w:val="22"/>
              </w:rPr>
              <w:t>7 godz.</w:t>
            </w:r>
            <w:r>
              <w:rPr>
                <w:color w:val="000000" w:themeColor="text1"/>
                <w:sz w:val="22"/>
                <w:szCs w:val="22"/>
              </w:rPr>
              <w:t>; w ćwiczeniach -</w:t>
            </w:r>
            <w:r w:rsidRPr="00D31FF6">
              <w:rPr>
                <w:color w:val="000000" w:themeColor="text1"/>
                <w:sz w:val="22"/>
                <w:szCs w:val="22"/>
              </w:rPr>
              <w:t>7godz.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5BF2ECC9" w14:textId="31679A37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 konsultacjach  - </w:t>
            </w:r>
            <w:r w:rsidRPr="00D31FF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D31FF6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D31FF6" w:rsidRPr="003305C4" w:rsidRDefault="00D31FF6" w:rsidP="00D31FF6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36CDBEA5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W1 – BH_W03</w:t>
            </w:r>
          </w:p>
          <w:p w14:paraId="2853C753" w14:textId="6D606230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W2 – BH_W04</w:t>
            </w:r>
          </w:p>
          <w:p w14:paraId="25A3BB75" w14:textId="5E01FDC9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W3 – BH_W02</w:t>
            </w:r>
          </w:p>
          <w:p w14:paraId="683590FC" w14:textId="77777777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B5D677" w14:textId="72BFB25A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U1 – BH_U04</w:t>
            </w:r>
          </w:p>
          <w:p w14:paraId="38CD8534" w14:textId="32694DE2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U2 – BH_U08</w:t>
            </w:r>
          </w:p>
          <w:p w14:paraId="0E4A5E3E" w14:textId="74099B98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U3 – BH_U05</w:t>
            </w:r>
          </w:p>
          <w:p w14:paraId="2FA2FAC6" w14:textId="77777777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154D9E" w14:textId="32F7859D" w:rsidR="00D31FF6" w:rsidRP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3C005134" w14:textId="77777777" w:rsidR="00D31FF6" w:rsidRDefault="00D31FF6" w:rsidP="00D31F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1FF6">
              <w:rPr>
                <w:color w:val="000000" w:themeColor="text1"/>
                <w:sz w:val="22"/>
                <w:szCs w:val="22"/>
              </w:rPr>
              <w:t>K2 – BH_K04</w:t>
            </w:r>
          </w:p>
          <w:p w14:paraId="12F16102" w14:textId="2D2EB061" w:rsidR="004A0C5F" w:rsidRPr="004A0C5F" w:rsidRDefault="004A0C5F" w:rsidP="00D31FF6">
            <w:pPr>
              <w:jc w:val="both"/>
            </w:pPr>
            <w:bookmarkStart w:id="0" w:name="_GoBack"/>
            <w:bookmarkEnd w:id="0"/>
            <w: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9DEE" w14:textId="77777777" w:rsidR="00207906" w:rsidRDefault="00207906" w:rsidP="008D17BD">
      <w:r>
        <w:separator/>
      </w:r>
    </w:p>
  </w:endnote>
  <w:endnote w:type="continuationSeparator" w:id="0">
    <w:p w14:paraId="1761A883" w14:textId="77777777" w:rsidR="00207906" w:rsidRDefault="0020790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986F59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A0C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A0C5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84CF" w14:textId="77777777" w:rsidR="00207906" w:rsidRDefault="00207906" w:rsidP="008D17BD">
      <w:r>
        <w:separator/>
      </w:r>
    </w:p>
  </w:footnote>
  <w:footnote w:type="continuationSeparator" w:id="0">
    <w:p w14:paraId="72E32C25" w14:textId="77777777" w:rsidR="00207906" w:rsidRDefault="0020790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1626CC"/>
    <w:multiLevelType w:val="multilevel"/>
    <w:tmpl w:val="1534C3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1D3"/>
    <w:multiLevelType w:val="multilevel"/>
    <w:tmpl w:val="38080C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5C9"/>
    <w:multiLevelType w:val="multilevel"/>
    <w:tmpl w:val="6E7CED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399F"/>
    <w:rsid w:val="00023A99"/>
    <w:rsid w:val="0004752F"/>
    <w:rsid w:val="0005376E"/>
    <w:rsid w:val="000B5965"/>
    <w:rsid w:val="000D45C2"/>
    <w:rsid w:val="000F587A"/>
    <w:rsid w:val="00101F00"/>
    <w:rsid w:val="00120398"/>
    <w:rsid w:val="00123155"/>
    <w:rsid w:val="00183E22"/>
    <w:rsid w:val="001F4E9C"/>
    <w:rsid w:val="00206860"/>
    <w:rsid w:val="00207270"/>
    <w:rsid w:val="00207906"/>
    <w:rsid w:val="0022038E"/>
    <w:rsid w:val="00257E54"/>
    <w:rsid w:val="00271DE5"/>
    <w:rsid w:val="002835BD"/>
    <w:rsid w:val="00283678"/>
    <w:rsid w:val="002A79BC"/>
    <w:rsid w:val="002E256F"/>
    <w:rsid w:val="002E4043"/>
    <w:rsid w:val="0032739E"/>
    <w:rsid w:val="003305C4"/>
    <w:rsid w:val="003853C3"/>
    <w:rsid w:val="003B32BF"/>
    <w:rsid w:val="003F4838"/>
    <w:rsid w:val="00442DA8"/>
    <w:rsid w:val="00457679"/>
    <w:rsid w:val="004770AF"/>
    <w:rsid w:val="004A0C5F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67AF3"/>
    <w:rsid w:val="006742BC"/>
    <w:rsid w:val="006E62D3"/>
    <w:rsid w:val="006F3573"/>
    <w:rsid w:val="00727AFC"/>
    <w:rsid w:val="007B768F"/>
    <w:rsid w:val="00814787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705C9"/>
    <w:rsid w:val="009763FB"/>
    <w:rsid w:val="00980EBB"/>
    <w:rsid w:val="0098654A"/>
    <w:rsid w:val="00991350"/>
    <w:rsid w:val="00992D17"/>
    <w:rsid w:val="009C2572"/>
    <w:rsid w:val="009C25A9"/>
    <w:rsid w:val="009C6869"/>
    <w:rsid w:val="009C6B0F"/>
    <w:rsid w:val="009E2433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B0467"/>
    <w:rsid w:val="00BF20FE"/>
    <w:rsid w:val="00BF5620"/>
    <w:rsid w:val="00CD3047"/>
    <w:rsid w:val="00CD423D"/>
    <w:rsid w:val="00D00A94"/>
    <w:rsid w:val="00D2747A"/>
    <w:rsid w:val="00D31FF6"/>
    <w:rsid w:val="00D3631E"/>
    <w:rsid w:val="00D40076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9C6B0F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tytul">
    <w:name w:val="tytul"/>
    <w:rsid w:val="0072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FD90-2A26-4E2F-BF3A-09721228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2022-08-03T10:34:00Z</dcterms:created>
  <dcterms:modified xsi:type="dcterms:W3CDTF">2024-03-20T09:17:00Z</dcterms:modified>
</cp:coreProperties>
</file>