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26A1" w14:textId="77777777" w:rsidR="008D17BD" w:rsidRPr="00B3085C" w:rsidRDefault="00B400C0" w:rsidP="00992D17">
      <w:pPr>
        <w:jc w:val="center"/>
        <w:rPr>
          <w:bCs/>
        </w:rPr>
      </w:pPr>
      <w:r w:rsidRPr="00B3085C">
        <w:t xml:space="preserve">                                                          </w:t>
      </w:r>
    </w:p>
    <w:p w14:paraId="505AF01D" w14:textId="77777777" w:rsidR="00023A99" w:rsidRPr="00B3085C" w:rsidRDefault="00B400C0" w:rsidP="00023A99">
      <w:pPr>
        <w:rPr>
          <w:b/>
        </w:rPr>
      </w:pPr>
      <w:r w:rsidRPr="00B3085C">
        <w:rPr>
          <w:b/>
        </w:rPr>
        <w:t>Karta opisu zajęć (s</w:t>
      </w:r>
      <w:r w:rsidR="0092197E" w:rsidRPr="00B3085C">
        <w:rPr>
          <w:b/>
        </w:rPr>
        <w:t>ylabus)</w:t>
      </w:r>
    </w:p>
    <w:p w14:paraId="4BBA6BAA" w14:textId="77777777" w:rsidR="00B400C0" w:rsidRPr="00B3085C" w:rsidRDefault="00B400C0" w:rsidP="00023A9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023A99" w:rsidRPr="005D5C4B" w14:paraId="22FB90D5" w14:textId="77777777" w:rsidTr="00023A99">
        <w:tc>
          <w:tcPr>
            <w:tcW w:w="3942" w:type="dxa"/>
            <w:shd w:val="clear" w:color="auto" w:fill="auto"/>
          </w:tcPr>
          <w:p w14:paraId="49C13E83" w14:textId="77777777" w:rsidR="00023A99" w:rsidRPr="005D5C4B" w:rsidRDefault="00F02E5D" w:rsidP="004C0125">
            <w:r w:rsidRPr="005D5C4B">
              <w:t>Nazwa kierunku</w:t>
            </w:r>
            <w:r w:rsidR="00EC3848" w:rsidRPr="005D5C4B">
              <w:t xml:space="preserve"> </w:t>
            </w:r>
            <w:r w:rsidR="00023A99" w:rsidRPr="005D5C4B">
              <w:t>studiów</w:t>
            </w:r>
            <w:r w:rsidR="00B400C0" w:rsidRPr="005D5C4B">
              <w:t xml:space="preserve"> </w:t>
            </w:r>
          </w:p>
          <w:p w14:paraId="1587F4B2" w14:textId="77777777" w:rsidR="00B400C0" w:rsidRPr="005D5C4B" w:rsidRDefault="00B400C0" w:rsidP="004C0125"/>
        </w:tc>
        <w:tc>
          <w:tcPr>
            <w:tcW w:w="5344" w:type="dxa"/>
            <w:shd w:val="clear" w:color="auto" w:fill="auto"/>
          </w:tcPr>
          <w:p w14:paraId="1BC3009F" w14:textId="266D1CF2" w:rsidR="00023A99" w:rsidRPr="005D5C4B" w:rsidRDefault="00BF1306" w:rsidP="004C0125">
            <w:r w:rsidRPr="005D5C4B">
              <w:t>Bezpieczeństwo i Higiena Pracy</w:t>
            </w:r>
          </w:p>
        </w:tc>
      </w:tr>
      <w:tr w:rsidR="00023A99" w:rsidRPr="005D5C4B" w14:paraId="002DA1C0" w14:textId="77777777" w:rsidTr="00023A99">
        <w:tc>
          <w:tcPr>
            <w:tcW w:w="3942" w:type="dxa"/>
            <w:shd w:val="clear" w:color="auto" w:fill="auto"/>
          </w:tcPr>
          <w:p w14:paraId="27EFF048" w14:textId="77777777" w:rsidR="00023A99" w:rsidRPr="005D5C4B" w:rsidRDefault="0092197E" w:rsidP="004C0125">
            <w:r w:rsidRPr="005D5C4B">
              <w:t>Nazwa modułu</w:t>
            </w:r>
            <w:r w:rsidR="00023A99" w:rsidRPr="005D5C4B">
              <w:t>, także nazwa w języku angielskim</w:t>
            </w:r>
          </w:p>
        </w:tc>
        <w:tc>
          <w:tcPr>
            <w:tcW w:w="5344" w:type="dxa"/>
            <w:shd w:val="clear" w:color="auto" w:fill="auto"/>
          </w:tcPr>
          <w:p w14:paraId="4C044593" w14:textId="77777777" w:rsidR="004464EF" w:rsidRPr="005D5C4B" w:rsidRDefault="004464EF" w:rsidP="004464EF">
            <w:r w:rsidRPr="005D5C4B">
              <w:t xml:space="preserve">Techniki wytwarzania </w:t>
            </w:r>
          </w:p>
          <w:p w14:paraId="3AE1B6C6" w14:textId="5AEDFF5A" w:rsidR="00023A99" w:rsidRPr="005D5C4B" w:rsidRDefault="004464EF" w:rsidP="004464EF">
            <w:r w:rsidRPr="005D5C4B">
              <w:t>Manufacturing Technology</w:t>
            </w:r>
          </w:p>
        </w:tc>
      </w:tr>
      <w:tr w:rsidR="00023A99" w:rsidRPr="005D5C4B" w14:paraId="44CC75BD" w14:textId="77777777" w:rsidTr="00023A99">
        <w:tc>
          <w:tcPr>
            <w:tcW w:w="3942" w:type="dxa"/>
            <w:shd w:val="clear" w:color="auto" w:fill="auto"/>
          </w:tcPr>
          <w:p w14:paraId="71A2F1BA" w14:textId="77777777" w:rsidR="00023A99" w:rsidRPr="005D5C4B" w:rsidRDefault="00023A99" w:rsidP="004C0125">
            <w:r w:rsidRPr="005D5C4B">
              <w:t>Język wykładowy</w:t>
            </w:r>
            <w:r w:rsidR="00B400C0" w:rsidRPr="005D5C4B">
              <w:t xml:space="preserve"> </w:t>
            </w:r>
          </w:p>
          <w:p w14:paraId="13206882" w14:textId="77777777" w:rsidR="00B400C0" w:rsidRPr="005D5C4B" w:rsidRDefault="00B400C0" w:rsidP="004C0125"/>
        </w:tc>
        <w:tc>
          <w:tcPr>
            <w:tcW w:w="5344" w:type="dxa"/>
            <w:shd w:val="clear" w:color="auto" w:fill="auto"/>
          </w:tcPr>
          <w:p w14:paraId="5D55EF5C" w14:textId="136650CD" w:rsidR="00023A99" w:rsidRPr="005D5C4B" w:rsidRDefault="00BF1306" w:rsidP="004C0125">
            <w:r w:rsidRPr="005D5C4B">
              <w:t>j. polski</w:t>
            </w:r>
          </w:p>
        </w:tc>
      </w:tr>
      <w:tr w:rsidR="00023A99" w:rsidRPr="005D5C4B" w14:paraId="1255AC8F" w14:textId="77777777" w:rsidTr="00023A99">
        <w:tc>
          <w:tcPr>
            <w:tcW w:w="3942" w:type="dxa"/>
            <w:shd w:val="clear" w:color="auto" w:fill="auto"/>
          </w:tcPr>
          <w:p w14:paraId="72CD9AEA" w14:textId="77777777" w:rsidR="00023A99" w:rsidRPr="005D5C4B" w:rsidRDefault="00023A99" w:rsidP="004C0125">
            <w:pPr>
              <w:autoSpaceDE w:val="0"/>
              <w:autoSpaceDN w:val="0"/>
              <w:adjustRightInd w:val="0"/>
            </w:pPr>
            <w:r w:rsidRPr="005D5C4B">
              <w:t>Rodzaj modułu</w:t>
            </w:r>
            <w:r w:rsidR="00206860" w:rsidRPr="005D5C4B">
              <w:t xml:space="preserve"> </w:t>
            </w:r>
          </w:p>
          <w:p w14:paraId="54BCF93E" w14:textId="77777777" w:rsidR="00023A99" w:rsidRPr="005D5C4B" w:rsidRDefault="00023A99" w:rsidP="004C0125"/>
        </w:tc>
        <w:tc>
          <w:tcPr>
            <w:tcW w:w="5344" w:type="dxa"/>
            <w:shd w:val="clear" w:color="auto" w:fill="auto"/>
          </w:tcPr>
          <w:p w14:paraId="70B2B1A3" w14:textId="5E5C56E5" w:rsidR="00023A99" w:rsidRPr="005D5C4B" w:rsidRDefault="00023A99" w:rsidP="00B3085C">
            <w:r w:rsidRPr="005D5C4B">
              <w:t>obowiązkowy</w:t>
            </w:r>
          </w:p>
        </w:tc>
      </w:tr>
      <w:tr w:rsidR="00023A99" w:rsidRPr="005D5C4B" w14:paraId="5015561C" w14:textId="77777777" w:rsidTr="00023A99">
        <w:tc>
          <w:tcPr>
            <w:tcW w:w="3942" w:type="dxa"/>
            <w:shd w:val="clear" w:color="auto" w:fill="auto"/>
          </w:tcPr>
          <w:p w14:paraId="7BC9A49D" w14:textId="77777777" w:rsidR="00023A99" w:rsidRPr="005D5C4B" w:rsidRDefault="00023A99" w:rsidP="004C0125">
            <w:r w:rsidRPr="005D5C4B">
              <w:t>Poziom studiów</w:t>
            </w:r>
          </w:p>
        </w:tc>
        <w:tc>
          <w:tcPr>
            <w:tcW w:w="5344" w:type="dxa"/>
            <w:shd w:val="clear" w:color="auto" w:fill="auto"/>
          </w:tcPr>
          <w:p w14:paraId="01BD23DC" w14:textId="177E71CD" w:rsidR="00023A99" w:rsidRPr="005D5C4B" w:rsidRDefault="00023A99" w:rsidP="00B3085C">
            <w:r w:rsidRPr="005D5C4B">
              <w:t>pierwszego stopnia</w:t>
            </w:r>
          </w:p>
        </w:tc>
      </w:tr>
      <w:tr w:rsidR="00023A99" w:rsidRPr="005D5C4B" w14:paraId="2B87B1E4" w14:textId="77777777" w:rsidTr="00023A99">
        <w:tc>
          <w:tcPr>
            <w:tcW w:w="3942" w:type="dxa"/>
            <w:shd w:val="clear" w:color="auto" w:fill="auto"/>
          </w:tcPr>
          <w:p w14:paraId="5D9549F0" w14:textId="77777777" w:rsidR="00023A99" w:rsidRPr="005D5C4B" w:rsidRDefault="00023A99" w:rsidP="004C0125">
            <w:r w:rsidRPr="005D5C4B">
              <w:t>Forma studiów</w:t>
            </w:r>
          </w:p>
          <w:p w14:paraId="43425DE5" w14:textId="77777777" w:rsidR="00F02E5D" w:rsidRPr="005D5C4B" w:rsidRDefault="00F02E5D" w:rsidP="004C0125"/>
        </w:tc>
        <w:tc>
          <w:tcPr>
            <w:tcW w:w="5344" w:type="dxa"/>
            <w:shd w:val="clear" w:color="auto" w:fill="auto"/>
          </w:tcPr>
          <w:p w14:paraId="6418EEA2" w14:textId="776A0F8F" w:rsidR="00023A99" w:rsidRPr="005D5C4B" w:rsidRDefault="00023A99" w:rsidP="004C0125">
            <w:r w:rsidRPr="005D5C4B">
              <w:t>niestacjonarne</w:t>
            </w:r>
          </w:p>
        </w:tc>
      </w:tr>
      <w:tr w:rsidR="00023A99" w:rsidRPr="005D5C4B" w14:paraId="4AA62EA9" w14:textId="77777777" w:rsidTr="00023A99">
        <w:tc>
          <w:tcPr>
            <w:tcW w:w="3942" w:type="dxa"/>
            <w:shd w:val="clear" w:color="auto" w:fill="auto"/>
          </w:tcPr>
          <w:p w14:paraId="0FC04708" w14:textId="77777777" w:rsidR="00023A99" w:rsidRPr="005D5C4B" w:rsidRDefault="00023A99" w:rsidP="004C0125">
            <w:r w:rsidRPr="005D5C4B">
              <w:t>Rok studiów dla kierunku</w:t>
            </w:r>
          </w:p>
        </w:tc>
        <w:tc>
          <w:tcPr>
            <w:tcW w:w="5344" w:type="dxa"/>
            <w:shd w:val="clear" w:color="auto" w:fill="auto"/>
          </w:tcPr>
          <w:p w14:paraId="5E71B128" w14:textId="54583A4B" w:rsidR="00023A99" w:rsidRPr="005D5C4B" w:rsidRDefault="004464EF" w:rsidP="004C0125">
            <w:r w:rsidRPr="005D5C4B">
              <w:t>I</w:t>
            </w:r>
          </w:p>
        </w:tc>
      </w:tr>
      <w:tr w:rsidR="00023A99" w:rsidRPr="005D5C4B" w14:paraId="72E20799" w14:textId="77777777" w:rsidTr="00023A99">
        <w:tc>
          <w:tcPr>
            <w:tcW w:w="3942" w:type="dxa"/>
            <w:shd w:val="clear" w:color="auto" w:fill="auto"/>
          </w:tcPr>
          <w:p w14:paraId="6458EF25" w14:textId="77777777" w:rsidR="00023A99" w:rsidRPr="005D5C4B" w:rsidRDefault="00023A99" w:rsidP="004C0125">
            <w:r w:rsidRPr="005D5C4B">
              <w:t>Semestr dla kierunku</w:t>
            </w:r>
          </w:p>
        </w:tc>
        <w:tc>
          <w:tcPr>
            <w:tcW w:w="5344" w:type="dxa"/>
            <w:shd w:val="clear" w:color="auto" w:fill="auto"/>
          </w:tcPr>
          <w:p w14:paraId="42DB51E8" w14:textId="47476B55" w:rsidR="00023A99" w:rsidRPr="005D5C4B" w:rsidRDefault="004464EF" w:rsidP="004C0125">
            <w:r w:rsidRPr="005D5C4B">
              <w:t>2</w:t>
            </w:r>
          </w:p>
        </w:tc>
      </w:tr>
      <w:tr w:rsidR="004464EF" w:rsidRPr="005D5C4B" w14:paraId="30D4D18C" w14:textId="77777777" w:rsidTr="00DE6829">
        <w:tc>
          <w:tcPr>
            <w:tcW w:w="3942" w:type="dxa"/>
            <w:shd w:val="clear" w:color="auto" w:fill="auto"/>
          </w:tcPr>
          <w:p w14:paraId="644A5C03" w14:textId="77777777" w:rsidR="004464EF" w:rsidRPr="005D5C4B" w:rsidRDefault="004464EF" w:rsidP="004464EF">
            <w:pPr>
              <w:autoSpaceDE w:val="0"/>
              <w:autoSpaceDN w:val="0"/>
              <w:adjustRightInd w:val="0"/>
            </w:pPr>
            <w:r w:rsidRPr="005D5C4B">
              <w:t>Liczba punktów ECTS z podziałem na kontaktowe/niekontaktowe</w:t>
            </w:r>
          </w:p>
        </w:tc>
        <w:tc>
          <w:tcPr>
            <w:tcW w:w="5344" w:type="dxa"/>
            <w:shd w:val="clear" w:color="auto" w:fill="auto"/>
            <w:vAlign w:val="center"/>
          </w:tcPr>
          <w:p w14:paraId="13B8BA6E" w14:textId="34852EFB" w:rsidR="004464EF" w:rsidRPr="005D5C4B" w:rsidRDefault="004464EF" w:rsidP="004464EF">
            <w:r w:rsidRPr="005D5C4B">
              <w:t>4 (1,56/2,44)</w:t>
            </w:r>
          </w:p>
        </w:tc>
      </w:tr>
      <w:tr w:rsidR="004464EF" w:rsidRPr="005D5C4B" w14:paraId="75DBDE61" w14:textId="77777777" w:rsidTr="00DE6829">
        <w:tc>
          <w:tcPr>
            <w:tcW w:w="3942" w:type="dxa"/>
            <w:shd w:val="clear" w:color="auto" w:fill="auto"/>
          </w:tcPr>
          <w:p w14:paraId="6F77BB8D" w14:textId="77777777" w:rsidR="004464EF" w:rsidRPr="005D5C4B" w:rsidRDefault="004464EF" w:rsidP="004464EF">
            <w:pPr>
              <w:autoSpaceDE w:val="0"/>
              <w:autoSpaceDN w:val="0"/>
              <w:adjustRightInd w:val="0"/>
            </w:pPr>
            <w:r w:rsidRPr="005D5C4B">
              <w:t>Tytuł naukowy/stopień naukowy, imię i nazwisko osoby odpowiedzialnej za moduł</w:t>
            </w:r>
          </w:p>
        </w:tc>
        <w:tc>
          <w:tcPr>
            <w:tcW w:w="5344" w:type="dxa"/>
            <w:shd w:val="clear" w:color="auto" w:fill="auto"/>
            <w:vAlign w:val="center"/>
          </w:tcPr>
          <w:p w14:paraId="5F630C4D" w14:textId="746834F6" w:rsidR="004464EF" w:rsidRPr="005D5C4B" w:rsidRDefault="004464EF" w:rsidP="004464EF">
            <w:r w:rsidRPr="005D5C4B">
              <w:t xml:space="preserve">Dr inż. Monika Krzywicka </w:t>
            </w:r>
          </w:p>
        </w:tc>
      </w:tr>
      <w:tr w:rsidR="004464EF" w:rsidRPr="005D5C4B" w14:paraId="11CCA9D8" w14:textId="77777777" w:rsidTr="00DE6829">
        <w:tc>
          <w:tcPr>
            <w:tcW w:w="3942" w:type="dxa"/>
            <w:shd w:val="clear" w:color="auto" w:fill="auto"/>
          </w:tcPr>
          <w:p w14:paraId="0EEF2B79" w14:textId="77777777" w:rsidR="004464EF" w:rsidRPr="005D5C4B" w:rsidRDefault="004464EF" w:rsidP="004464EF">
            <w:r w:rsidRPr="005D5C4B">
              <w:t>Jednostka oferująca moduł</w:t>
            </w:r>
          </w:p>
          <w:p w14:paraId="08637ABB" w14:textId="77777777" w:rsidR="004464EF" w:rsidRPr="005D5C4B" w:rsidRDefault="004464EF" w:rsidP="004464EF"/>
        </w:tc>
        <w:tc>
          <w:tcPr>
            <w:tcW w:w="5344" w:type="dxa"/>
            <w:shd w:val="clear" w:color="auto" w:fill="auto"/>
            <w:vAlign w:val="center"/>
          </w:tcPr>
          <w:p w14:paraId="6B680D21" w14:textId="5CC4C324" w:rsidR="004464EF" w:rsidRPr="005D5C4B" w:rsidRDefault="004464EF" w:rsidP="004464EF">
            <w:r w:rsidRPr="005D5C4B">
              <w:t xml:space="preserve">Katedra Podstaw Techniki </w:t>
            </w:r>
          </w:p>
        </w:tc>
      </w:tr>
      <w:tr w:rsidR="00023A99" w:rsidRPr="005D5C4B" w14:paraId="23E9F444" w14:textId="77777777" w:rsidTr="00023A99">
        <w:tc>
          <w:tcPr>
            <w:tcW w:w="3942" w:type="dxa"/>
            <w:shd w:val="clear" w:color="auto" w:fill="auto"/>
          </w:tcPr>
          <w:p w14:paraId="739C8ADF" w14:textId="77777777" w:rsidR="00023A99" w:rsidRPr="005D5C4B" w:rsidRDefault="00023A99" w:rsidP="004C0125">
            <w:r w:rsidRPr="005D5C4B">
              <w:t>Cel modułu</w:t>
            </w:r>
          </w:p>
          <w:p w14:paraId="5788912F" w14:textId="77777777" w:rsidR="00023A99" w:rsidRPr="005D5C4B" w:rsidRDefault="00023A99" w:rsidP="004C0125"/>
        </w:tc>
        <w:tc>
          <w:tcPr>
            <w:tcW w:w="5344" w:type="dxa"/>
            <w:shd w:val="clear" w:color="auto" w:fill="auto"/>
          </w:tcPr>
          <w:p w14:paraId="2D36A1CD" w14:textId="40EE0236" w:rsidR="00023A99" w:rsidRPr="005D5C4B" w:rsidRDefault="004464EF" w:rsidP="004C0125">
            <w:pPr>
              <w:autoSpaceDE w:val="0"/>
              <w:autoSpaceDN w:val="0"/>
              <w:adjustRightInd w:val="0"/>
            </w:pPr>
            <w:r w:rsidRPr="005D5C4B">
              <w:t>Opanowanie wiadomości o wytwarzaniu surówki, procesach stalowniczych, metalurgii żeliwa i metali nieżelaznych, wybranych procesach obróbki plastycznej, wybranych metodach odlewania. Studenci zostaną także zapoznani z podstawami obróbki ubytkowej oraz metodami łączenia i cięcia materiałów.</w:t>
            </w:r>
          </w:p>
        </w:tc>
      </w:tr>
      <w:tr w:rsidR="004464EF" w:rsidRPr="005D5C4B" w14:paraId="1E08EEF7" w14:textId="77777777" w:rsidTr="00ED14FC">
        <w:trPr>
          <w:trHeight w:val="236"/>
        </w:trPr>
        <w:tc>
          <w:tcPr>
            <w:tcW w:w="3942" w:type="dxa"/>
            <w:vMerge w:val="restart"/>
            <w:shd w:val="clear" w:color="auto" w:fill="auto"/>
          </w:tcPr>
          <w:p w14:paraId="614C906B" w14:textId="77777777" w:rsidR="004464EF" w:rsidRPr="005D5C4B" w:rsidRDefault="004464EF" w:rsidP="004464EF">
            <w:pPr>
              <w:jc w:val="both"/>
            </w:pPr>
            <w:r w:rsidRPr="005D5C4B">
              <w:t>Efekty uczenia się dla modułu to opis zasobu wiedzy, umiejętności i kompetencji społecznych, które student osiągnie po zrealizowaniu zajęć.</w:t>
            </w:r>
          </w:p>
        </w:tc>
        <w:tc>
          <w:tcPr>
            <w:tcW w:w="5344" w:type="dxa"/>
            <w:shd w:val="clear" w:color="auto" w:fill="auto"/>
            <w:vAlign w:val="center"/>
          </w:tcPr>
          <w:p w14:paraId="514D5028" w14:textId="0A83BEC9" w:rsidR="004464EF" w:rsidRPr="005D5C4B" w:rsidRDefault="004464EF" w:rsidP="004464EF">
            <w:r w:rsidRPr="005D5C4B">
              <w:t xml:space="preserve">Wiedza: </w:t>
            </w:r>
          </w:p>
        </w:tc>
      </w:tr>
      <w:tr w:rsidR="004464EF" w:rsidRPr="005D5C4B" w14:paraId="7E6C8F4C" w14:textId="77777777" w:rsidTr="00ED14FC">
        <w:trPr>
          <w:trHeight w:val="233"/>
        </w:trPr>
        <w:tc>
          <w:tcPr>
            <w:tcW w:w="3942" w:type="dxa"/>
            <w:vMerge/>
            <w:shd w:val="clear" w:color="auto" w:fill="auto"/>
          </w:tcPr>
          <w:p w14:paraId="57C44ACD" w14:textId="77777777" w:rsidR="004464EF" w:rsidRPr="005D5C4B" w:rsidRDefault="004464EF" w:rsidP="004464EF">
            <w:pPr>
              <w:rPr>
                <w:highlight w:val="yellow"/>
              </w:rPr>
            </w:pPr>
          </w:p>
        </w:tc>
        <w:tc>
          <w:tcPr>
            <w:tcW w:w="5344" w:type="dxa"/>
            <w:shd w:val="clear" w:color="auto" w:fill="auto"/>
            <w:vAlign w:val="center"/>
          </w:tcPr>
          <w:p w14:paraId="207688D8" w14:textId="43E0F756" w:rsidR="004464EF" w:rsidRPr="005D5C4B" w:rsidRDefault="004464EF" w:rsidP="004464EF">
            <w:r w:rsidRPr="005D5C4B">
              <w:t xml:space="preserve">W1. Student zna podstawowe techniki i technologie oraz maszyny i inne urządzenia wykorzystywane podczas różnych metod kształtowania i obróbki ubytkowej, łączenia oraz ciecia materiałów. </w:t>
            </w:r>
          </w:p>
        </w:tc>
      </w:tr>
      <w:tr w:rsidR="004464EF" w:rsidRPr="005D5C4B" w14:paraId="13FED6FD" w14:textId="77777777" w:rsidTr="00ED14FC">
        <w:trPr>
          <w:trHeight w:val="233"/>
        </w:trPr>
        <w:tc>
          <w:tcPr>
            <w:tcW w:w="3942" w:type="dxa"/>
            <w:vMerge/>
            <w:shd w:val="clear" w:color="auto" w:fill="auto"/>
          </w:tcPr>
          <w:p w14:paraId="25C245BB" w14:textId="77777777" w:rsidR="004464EF" w:rsidRPr="005D5C4B" w:rsidRDefault="004464EF" w:rsidP="004464EF">
            <w:pPr>
              <w:rPr>
                <w:highlight w:val="yellow"/>
              </w:rPr>
            </w:pPr>
          </w:p>
        </w:tc>
        <w:tc>
          <w:tcPr>
            <w:tcW w:w="5344" w:type="dxa"/>
            <w:shd w:val="clear" w:color="auto" w:fill="auto"/>
            <w:vAlign w:val="center"/>
          </w:tcPr>
          <w:p w14:paraId="28F9D8CC" w14:textId="14DC6E8D" w:rsidR="004464EF" w:rsidRPr="005D5C4B" w:rsidRDefault="004464EF" w:rsidP="004464EF"/>
        </w:tc>
      </w:tr>
      <w:tr w:rsidR="004464EF" w:rsidRPr="005D5C4B" w14:paraId="66F45444" w14:textId="77777777" w:rsidTr="00ED14FC">
        <w:trPr>
          <w:trHeight w:val="233"/>
        </w:trPr>
        <w:tc>
          <w:tcPr>
            <w:tcW w:w="3942" w:type="dxa"/>
            <w:vMerge/>
            <w:shd w:val="clear" w:color="auto" w:fill="auto"/>
          </w:tcPr>
          <w:p w14:paraId="328A6953" w14:textId="77777777" w:rsidR="004464EF" w:rsidRPr="005D5C4B" w:rsidRDefault="004464EF" w:rsidP="004464EF">
            <w:pPr>
              <w:rPr>
                <w:highlight w:val="yellow"/>
              </w:rPr>
            </w:pPr>
          </w:p>
        </w:tc>
        <w:tc>
          <w:tcPr>
            <w:tcW w:w="5344" w:type="dxa"/>
            <w:shd w:val="clear" w:color="auto" w:fill="auto"/>
            <w:vAlign w:val="center"/>
          </w:tcPr>
          <w:p w14:paraId="02F75E96" w14:textId="2FE97BE5" w:rsidR="004464EF" w:rsidRPr="005D5C4B" w:rsidRDefault="004464EF" w:rsidP="004464EF">
            <w:r w:rsidRPr="005D5C4B">
              <w:t>Umiejętności:</w:t>
            </w:r>
          </w:p>
        </w:tc>
      </w:tr>
      <w:tr w:rsidR="004464EF" w:rsidRPr="005D5C4B" w14:paraId="2098588E" w14:textId="77777777" w:rsidTr="00ED14FC">
        <w:trPr>
          <w:trHeight w:val="233"/>
        </w:trPr>
        <w:tc>
          <w:tcPr>
            <w:tcW w:w="3942" w:type="dxa"/>
            <w:vMerge/>
            <w:shd w:val="clear" w:color="auto" w:fill="auto"/>
          </w:tcPr>
          <w:p w14:paraId="4651A240" w14:textId="77777777" w:rsidR="004464EF" w:rsidRPr="005D5C4B" w:rsidRDefault="004464EF" w:rsidP="004464EF">
            <w:pPr>
              <w:rPr>
                <w:highlight w:val="yellow"/>
              </w:rPr>
            </w:pPr>
          </w:p>
        </w:tc>
        <w:tc>
          <w:tcPr>
            <w:tcW w:w="5344" w:type="dxa"/>
            <w:shd w:val="clear" w:color="auto" w:fill="auto"/>
            <w:vAlign w:val="center"/>
          </w:tcPr>
          <w:p w14:paraId="44CA5129" w14:textId="53E8F34E" w:rsidR="004464EF" w:rsidRPr="005D5C4B" w:rsidRDefault="004464EF" w:rsidP="004464EF">
            <w:r w:rsidRPr="005D5C4B">
              <w:t>U1. Student potrafi wyszukiwać i analizować informacje pochodzące z różnych źródeł, przedstawić wyniki projektu i wyciągać wnioski.</w:t>
            </w:r>
          </w:p>
        </w:tc>
      </w:tr>
      <w:tr w:rsidR="004464EF" w:rsidRPr="005D5C4B" w14:paraId="5CF6025D" w14:textId="77777777" w:rsidTr="00ED14FC">
        <w:trPr>
          <w:trHeight w:val="233"/>
        </w:trPr>
        <w:tc>
          <w:tcPr>
            <w:tcW w:w="3942" w:type="dxa"/>
            <w:vMerge/>
            <w:shd w:val="clear" w:color="auto" w:fill="auto"/>
          </w:tcPr>
          <w:p w14:paraId="0F89FE14" w14:textId="77777777" w:rsidR="004464EF" w:rsidRPr="005D5C4B" w:rsidRDefault="004464EF" w:rsidP="004464EF">
            <w:pPr>
              <w:rPr>
                <w:highlight w:val="yellow"/>
              </w:rPr>
            </w:pPr>
          </w:p>
        </w:tc>
        <w:tc>
          <w:tcPr>
            <w:tcW w:w="5344" w:type="dxa"/>
            <w:shd w:val="clear" w:color="auto" w:fill="auto"/>
            <w:vAlign w:val="center"/>
          </w:tcPr>
          <w:p w14:paraId="038777CD" w14:textId="2D90C43A" w:rsidR="004464EF" w:rsidRPr="005D5C4B" w:rsidRDefault="004464EF" w:rsidP="004464EF">
            <w:r w:rsidRPr="005D5C4B">
              <w:t xml:space="preserve">U2. Student potrafi analizować przebieg procesu kształtowania materiałów oraz wybranych metod obróbki, łączenia i cięcia </w:t>
            </w:r>
            <w:r w:rsidR="00F16EC5" w:rsidRPr="005D5C4B">
              <w:t>oraz</w:t>
            </w:r>
            <w:r w:rsidRPr="005D5C4B">
              <w:t xml:space="preserve"> wskazywać ich wpływ na stan bezpieczeństwa ludzi. </w:t>
            </w:r>
          </w:p>
          <w:p w14:paraId="3BE50B79" w14:textId="36287FA7" w:rsidR="004464EF" w:rsidRPr="005D5C4B" w:rsidRDefault="004464EF" w:rsidP="004464EF"/>
        </w:tc>
      </w:tr>
      <w:tr w:rsidR="004464EF" w:rsidRPr="005D5C4B" w14:paraId="662A2610" w14:textId="77777777" w:rsidTr="00ED14FC">
        <w:trPr>
          <w:trHeight w:val="233"/>
        </w:trPr>
        <w:tc>
          <w:tcPr>
            <w:tcW w:w="3942" w:type="dxa"/>
            <w:vMerge/>
            <w:shd w:val="clear" w:color="auto" w:fill="auto"/>
          </w:tcPr>
          <w:p w14:paraId="64C588B8" w14:textId="77777777" w:rsidR="004464EF" w:rsidRPr="005D5C4B" w:rsidRDefault="004464EF" w:rsidP="004464EF">
            <w:pPr>
              <w:rPr>
                <w:highlight w:val="yellow"/>
              </w:rPr>
            </w:pPr>
          </w:p>
        </w:tc>
        <w:tc>
          <w:tcPr>
            <w:tcW w:w="5344" w:type="dxa"/>
            <w:shd w:val="clear" w:color="auto" w:fill="auto"/>
            <w:vAlign w:val="center"/>
          </w:tcPr>
          <w:p w14:paraId="091ADA02" w14:textId="53CCB6DA" w:rsidR="004464EF" w:rsidRPr="005D5C4B" w:rsidRDefault="004464EF" w:rsidP="004464EF">
            <w:r w:rsidRPr="005D5C4B">
              <w:t>Kompetencje społeczne:</w:t>
            </w:r>
          </w:p>
        </w:tc>
      </w:tr>
      <w:tr w:rsidR="004464EF" w:rsidRPr="005D5C4B" w14:paraId="06CA15D9" w14:textId="77777777" w:rsidTr="00ED14FC">
        <w:trPr>
          <w:trHeight w:val="233"/>
        </w:trPr>
        <w:tc>
          <w:tcPr>
            <w:tcW w:w="3942" w:type="dxa"/>
            <w:vMerge/>
            <w:shd w:val="clear" w:color="auto" w:fill="auto"/>
          </w:tcPr>
          <w:p w14:paraId="7A031B83" w14:textId="77777777" w:rsidR="004464EF" w:rsidRPr="005D5C4B" w:rsidRDefault="004464EF" w:rsidP="004464EF">
            <w:pPr>
              <w:rPr>
                <w:highlight w:val="yellow"/>
              </w:rPr>
            </w:pPr>
          </w:p>
        </w:tc>
        <w:tc>
          <w:tcPr>
            <w:tcW w:w="5344" w:type="dxa"/>
            <w:shd w:val="clear" w:color="auto" w:fill="auto"/>
            <w:vAlign w:val="center"/>
          </w:tcPr>
          <w:p w14:paraId="6443596A" w14:textId="174CB468" w:rsidR="004464EF" w:rsidRPr="005D5C4B" w:rsidRDefault="004464EF" w:rsidP="00B3085C">
            <w:r w:rsidRPr="005D5C4B">
              <w:t>K1. Student jest gotów do d</w:t>
            </w:r>
            <w:r w:rsidR="00B3085C" w:rsidRPr="005D5C4B">
              <w:t>ziałania w grupie.</w:t>
            </w:r>
          </w:p>
        </w:tc>
      </w:tr>
      <w:tr w:rsidR="00AE37C2" w:rsidRPr="005D5C4B" w14:paraId="289C879F" w14:textId="77777777" w:rsidTr="00023A99">
        <w:tc>
          <w:tcPr>
            <w:tcW w:w="3942" w:type="dxa"/>
            <w:shd w:val="clear" w:color="auto" w:fill="auto"/>
          </w:tcPr>
          <w:p w14:paraId="73CD2046" w14:textId="549BCBEE" w:rsidR="00AE37C2" w:rsidRPr="005D5C4B" w:rsidRDefault="00AE37C2" w:rsidP="00AE37C2">
            <w:r w:rsidRPr="005D5C4B">
              <w:lastRenderedPageBreak/>
              <w:t>Odniesienie modułowych efektów uczenia się do kierunkowych efektów uczenia się</w:t>
            </w:r>
          </w:p>
        </w:tc>
        <w:tc>
          <w:tcPr>
            <w:tcW w:w="5344" w:type="dxa"/>
            <w:shd w:val="clear" w:color="auto" w:fill="auto"/>
          </w:tcPr>
          <w:p w14:paraId="75EF2C68" w14:textId="77777777" w:rsidR="004464EF" w:rsidRPr="005D5C4B" w:rsidRDefault="004464EF" w:rsidP="004464EF">
            <w:pPr>
              <w:jc w:val="both"/>
            </w:pPr>
            <w:r w:rsidRPr="005D5C4B">
              <w:t>W1 – BH_W05</w:t>
            </w:r>
          </w:p>
          <w:p w14:paraId="73878F82" w14:textId="77777777" w:rsidR="004464EF" w:rsidRPr="005D5C4B" w:rsidRDefault="004464EF" w:rsidP="004464EF">
            <w:pPr>
              <w:jc w:val="both"/>
            </w:pPr>
            <w:r w:rsidRPr="005D5C4B">
              <w:t>U1 – BH_U01</w:t>
            </w:r>
          </w:p>
          <w:p w14:paraId="329966A3" w14:textId="77777777" w:rsidR="004464EF" w:rsidRPr="005D5C4B" w:rsidRDefault="004464EF" w:rsidP="004464EF">
            <w:pPr>
              <w:jc w:val="both"/>
            </w:pPr>
            <w:r w:rsidRPr="005D5C4B">
              <w:t>K1 – BH_K01</w:t>
            </w:r>
          </w:p>
          <w:p w14:paraId="1F5C079B" w14:textId="34A696AD" w:rsidR="00AE37C2" w:rsidRPr="005D5C4B" w:rsidRDefault="00AE37C2" w:rsidP="00DF6048">
            <w:pPr>
              <w:jc w:val="both"/>
            </w:pPr>
          </w:p>
        </w:tc>
      </w:tr>
      <w:tr w:rsidR="00F17FA9" w:rsidRPr="005D5C4B" w14:paraId="414A0793" w14:textId="77777777" w:rsidTr="00023A99">
        <w:tc>
          <w:tcPr>
            <w:tcW w:w="3942" w:type="dxa"/>
            <w:shd w:val="clear" w:color="auto" w:fill="auto"/>
          </w:tcPr>
          <w:p w14:paraId="7842E415" w14:textId="61D7AB76" w:rsidR="00F17FA9" w:rsidRPr="005D5C4B" w:rsidRDefault="00F17FA9" w:rsidP="00AE37C2">
            <w:r w:rsidRPr="005D5C4B">
              <w:t>Odniesienie modułowych efektów uczenia się do efektów inżynierskich</w:t>
            </w:r>
            <w:r w:rsidR="00C82AC5" w:rsidRPr="005D5C4B">
              <w:t xml:space="preserve"> (jeżeli dotyczy)</w:t>
            </w:r>
          </w:p>
        </w:tc>
        <w:tc>
          <w:tcPr>
            <w:tcW w:w="5344" w:type="dxa"/>
            <w:shd w:val="clear" w:color="auto" w:fill="auto"/>
          </w:tcPr>
          <w:p w14:paraId="1721E983" w14:textId="10029B60" w:rsidR="004464EF" w:rsidRPr="005D5C4B" w:rsidRDefault="004464EF" w:rsidP="004464EF">
            <w:pPr>
              <w:jc w:val="both"/>
            </w:pPr>
            <w:r w:rsidRPr="005D5C4B">
              <w:t>K1- InzBH_W05</w:t>
            </w:r>
          </w:p>
          <w:p w14:paraId="2ACAD0E0" w14:textId="03AED1F7" w:rsidR="004464EF" w:rsidRPr="005D5C4B" w:rsidRDefault="004464EF" w:rsidP="004464EF">
            <w:pPr>
              <w:jc w:val="both"/>
            </w:pPr>
            <w:r w:rsidRPr="005D5C4B">
              <w:t>U1 - InzBH_U03</w:t>
            </w:r>
          </w:p>
          <w:p w14:paraId="3934FFE7" w14:textId="167438AC" w:rsidR="00874A0E" w:rsidRPr="005D5C4B" w:rsidRDefault="004464EF" w:rsidP="004464EF">
            <w:pPr>
              <w:jc w:val="both"/>
            </w:pPr>
            <w:r w:rsidRPr="005D5C4B">
              <w:t>U2 - InzBH_U04</w:t>
            </w:r>
          </w:p>
        </w:tc>
      </w:tr>
      <w:tr w:rsidR="00AE37C2" w:rsidRPr="005D5C4B" w14:paraId="58C2A48F" w14:textId="77777777" w:rsidTr="00023A99">
        <w:tc>
          <w:tcPr>
            <w:tcW w:w="3942" w:type="dxa"/>
            <w:shd w:val="clear" w:color="auto" w:fill="auto"/>
          </w:tcPr>
          <w:p w14:paraId="0FDCBFB6" w14:textId="77777777" w:rsidR="00AE37C2" w:rsidRPr="005D5C4B" w:rsidRDefault="00AE37C2" w:rsidP="00AE37C2">
            <w:r w:rsidRPr="005D5C4B">
              <w:t xml:space="preserve">Wymagania wstępne i dodatkowe </w:t>
            </w:r>
          </w:p>
        </w:tc>
        <w:tc>
          <w:tcPr>
            <w:tcW w:w="5344" w:type="dxa"/>
            <w:shd w:val="clear" w:color="auto" w:fill="auto"/>
          </w:tcPr>
          <w:p w14:paraId="22B36F54" w14:textId="3F29FE19" w:rsidR="00AE37C2" w:rsidRPr="005D5C4B" w:rsidRDefault="00AE37C2" w:rsidP="00AE37C2">
            <w:pPr>
              <w:jc w:val="both"/>
            </w:pPr>
          </w:p>
        </w:tc>
      </w:tr>
      <w:tr w:rsidR="00AE37C2" w:rsidRPr="005D5C4B" w14:paraId="37CE39B4" w14:textId="77777777" w:rsidTr="00023A99">
        <w:tc>
          <w:tcPr>
            <w:tcW w:w="3942" w:type="dxa"/>
            <w:shd w:val="clear" w:color="auto" w:fill="auto"/>
          </w:tcPr>
          <w:p w14:paraId="3E2FE0E2" w14:textId="77777777" w:rsidR="00AE37C2" w:rsidRPr="005D5C4B" w:rsidRDefault="00AE37C2" w:rsidP="00AE37C2">
            <w:r w:rsidRPr="005D5C4B">
              <w:t xml:space="preserve">Treści programowe modułu </w:t>
            </w:r>
          </w:p>
          <w:p w14:paraId="4DD31D43" w14:textId="77777777" w:rsidR="00AE37C2" w:rsidRPr="005D5C4B" w:rsidRDefault="00AE37C2" w:rsidP="00AE37C2"/>
        </w:tc>
        <w:tc>
          <w:tcPr>
            <w:tcW w:w="5344" w:type="dxa"/>
            <w:shd w:val="clear" w:color="auto" w:fill="auto"/>
          </w:tcPr>
          <w:p w14:paraId="7095A455" w14:textId="33BA20C6" w:rsidR="00AE37C2" w:rsidRPr="005D5C4B" w:rsidRDefault="00F16EC5" w:rsidP="00AE37C2">
            <w:r w:rsidRPr="005D5C4B">
              <w:t xml:space="preserve">Wykłady obejmują wiadomości o: wytwarzaniu surówki, procesach stalowniczych, metalurgii żeliwa i metali nieżelaznych (aluminium, miedź), wybranych procesach obróbki plastycznej (walcownictwo, ciągarstwo, kucie matrycowe), wybranych metodach odlewania (w formach piaskowych, kokilowe, wytapianych modeli, odśrodkowe), wybranych procesach obróbki ubytkowej (toczenie, frezowanie, wiercenie, przeciąganie, dłutowanie, szlifowanie, polerowanie) oraz metodami łączenia materiałów (różnie metody spawania, lutowanie, zgrzewanie, klejenie) oraz cięciu materiałów. Podczas ćwiczeń studenci wykonują projekt obliczeniowy, prezentowane i omawiane są filmy dydaktyczne dotyczące zagadnień poruszanych na wykładzie. </w:t>
            </w:r>
          </w:p>
        </w:tc>
      </w:tr>
      <w:tr w:rsidR="00AE37C2" w:rsidRPr="005D5C4B" w14:paraId="5620E3C9" w14:textId="77777777" w:rsidTr="00023A99">
        <w:tc>
          <w:tcPr>
            <w:tcW w:w="3942" w:type="dxa"/>
            <w:shd w:val="clear" w:color="auto" w:fill="auto"/>
          </w:tcPr>
          <w:p w14:paraId="7D888CB9" w14:textId="77777777" w:rsidR="00AE37C2" w:rsidRPr="005D5C4B" w:rsidRDefault="00AE37C2" w:rsidP="00AE37C2">
            <w:r w:rsidRPr="005D5C4B">
              <w:t>Wykaz literatury podstawowej i uzupełniającej</w:t>
            </w:r>
          </w:p>
        </w:tc>
        <w:tc>
          <w:tcPr>
            <w:tcW w:w="5344" w:type="dxa"/>
            <w:shd w:val="clear" w:color="auto" w:fill="auto"/>
          </w:tcPr>
          <w:p w14:paraId="0FAE871A" w14:textId="77777777" w:rsidR="00F16EC5" w:rsidRPr="005D5C4B" w:rsidRDefault="00F16EC5" w:rsidP="00F16EC5">
            <w:pPr>
              <w:jc w:val="both"/>
            </w:pPr>
            <w:r w:rsidRPr="005D5C4B">
              <w:t>Literatura podstawowa:</w:t>
            </w:r>
          </w:p>
          <w:p w14:paraId="35819AC8" w14:textId="77777777" w:rsidR="00F16EC5" w:rsidRPr="005D5C4B" w:rsidRDefault="00F16EC5" w:rsidP="00F16EC5">
            <w:pPr>
              <w:pStyle w:val="Akapitzlist"/>
              <w:numPr>
                <w:ilvl w:val="0"/>
                <w:numId w:val="3"/>
              </w:numPr>
              <w:ind w:left="0" w:firstLine="0"/>
              <w:jc w:val="both"/>
            </w:pPr>
            <w:r w:rsidRPr="005D5C4B">
              <w:t>Kazimierz Zaleski, Jakub Matuszak. Podstawy obróbki ubytkowej. Lublin, 2016.</w:t>
            </w:r>
          </w:p>
          <w:p w14:paraId="481BB62F" w14:textId="77777777" w:rsidR="00F16EC5" w:rsidRPr="005D5C4B" w:rsidRDefault="00F16EC5" w:rsidP="00F16EC5">
            <w:pPr>
              <w:pStyle w:val="Akapitzlist"/>
              <w:numPr>
                <w:ilvl w:val="0"/>
                <w:numId w:val="3"/>
              </w:numPr>
              <w:ind w:left="0" w:firstLine="0"/>
              <w:jc w:val="both"/>
            </w:pPr>
            <w:r w:rsidRPr="005D5C4B">
              <w:t xml:space="preserve">Zbigniew Pater. Podstawy metalurgii i odlewnictwa. Lublin, 2014. </w:t>
            </w:r>
          </w:p>
          <w:p w14:paraId="6A290682" w14:textId="77777777" w:rsidR="00F16EC5" w:rsidRPr="005D5C4B" w:rsidRDefault="00F16EC5" w:rsidP="00F16EC5">
            <w:pPr>
              <w:pStyle w:val="Akapitzlist"/>
              <w:numPr>
                <w:ilvl w:val="0"/>
                <w:numId w:val="3"/>
              </w:numPr>
              <w:ind w:left="0" w:firstLine="0"/>
              <w:jc w:val="both"/>
            </w:pPr>
            <w:r w:rsidRPr="005D5C4B">
              <w:t>Anna Rudawska. Oprzyrządowanie w technologii klejenia. Lublin, 2016.</w:t>
            </w:r>
          </w:p>
          <w:p w14:paraId="42EB9679" w14:textId="77777777" w:rsidR="00F16EC5" w:rsidRPr="005D5C4B" w:rsidRDefault="00F16EC5" w:rsidP="00F16EC5">
            <w:pPr>
              <w:pStyle w:val="Akapitzlist"/>
              <w:numPr>
                <w:ilvl w:val="0"/>
                <w:numId w:val="3"/>
              </w:numPr>
              <w:ind w:left="0" w:firstLine="0"/>
              <w:jc w:val="both"/>
            </w:pPr>
            <w:r w:rsidRPr="005D5C4B">
              <w:t>Andrzej Ambroziak (pod red.). Techniki wytwarzania spawalnictwo. Wrocław, 2010.</w:t>
            </w:r>
          </w:p>
          <w:p w14:paraId="62F8735A" w14:textId="77777777" w:rsidR="00F16EC5" w:rsidRPr="005D5C4B" w:rsidRDefault="00F16EC5" w:rsidP="00F16EC5">
            <w:pPr>
              <w:jc w:val="both"/>
            </w:pPr>
            <w:r w:rsidRPr="005D5C4B">
              <w:t xml:space="preserve">Literatura uzupełniająca: </w:t>
            </w:r>
          </w:p>
          <w:p w14:paraId="7A8B8958" w14:textId="74B1A576" w:rsidR="00AE37C2" w:rsidRPr="005D5C4B" w:rsidRDefault="00F16EC5" w:rsidP="00C56333">
            <w:pPr>
              <w:pStyle w:val="Akapitzlist"/>
              <w:numPr>
                <w:ilvl w:val="0"/>
                <w:numId w:val="4"/>
              </w:numPr>
              <w:ind w:left="0" w:firstLine="0"/>
            </w:pPr>
            <w:r w:rsidRPr="005D5C4B">
              <w:t>Grzegorz Szwed (pod red.). Technologia obróbki metali. Lublin, 1991</w:t>
            </w:r>
            <w:r w:rsidR="00B3085C" w:rsidRPr="005D5C4B">
              <w:t>.</w:t>
            </w:r>
          </w:p>
        </w:tc>
      </w:tr>
      <w:tr w:rsidR="00AE37C2" w:rsidRPr="005D5C4B" w14:paraId="58BE204F" w14:textId="77777777" w:rsidTr="00023A99">
        <w:tc>
          <w:tcPr>
            <w:tcW w:w="3942" w:type="dxa"/>
            <w:shd w:val="clear" w:color="auto" w:fill="auto"/>
          </w:tcPr>
          <w:p w14:paraId="46CF88BC" w14:textId="77777777" w:rsidR="00AE37C2" w:rsidRPr="005D5C4B" w:rsidRDefault="00AE37C2" w:rsidP="00AE37C2">
            <w:r w:rsidRPr="005D5C4B">
              <w:t>Planowane formy/działania/metody dydaktyczne</w:t>
            </w:r>
          </w:p>
        </w:tc>
        <w:tc>
          <w:tcPr>
            <w:tcW w:w="5344" w:type="dxa"/>
            <w:shd w:val="clear" w:color="auto" w:fill="auto"/>
          </w:tcPr>
          <w:p w14:paraId="41258B72" w14:textId="77777777" w:rsidR="00C56333" w:rsidRPr="005D5C4B" w:rsidRDefault="00C56333" w:rsidP="00C56333">
            <w:pPr>
              <w:jc w:val="both"/>
            </w:pPr>
            <w:r w:rsidRPr="005D5C4B">
              <w:t>- techniki pobudzania myślenia twórczego (np. burza mózgów),</w:t>
            </w:r>
          </w:p>
          <w:p w14:paraId="58636F3A" w14:textId="77777777" w:rsidR="00C56333" w:rsidRPr="005D5C4B" w:rsidRDefault="00C56333" w:rsidP="00C56333">
            <w:pPr>
              <w:jc w:val="both"/>
            </w:pPr>
            <w:r w:rsidRPr="005D5C4B">
              <w:t>- praca w małych, ok. 2 – 4 osobowych grupach,</w:t>
            </w:r>
          </w:p>
          <w:p w14:paraId="79AEE39A" w14:textId="77777777" w:rsidR="00C56333" w:rsidRPr="005D5C4B" w:rsidRDefault="00C56333" w:rsidP="00C56333">
            <w:pPr>
              <w:jc w:val="both"/>
            </w:pPr>
            <w:r w:rsidRPr="005D5C4B">
              <w:t>- dyskusja,</w:t>
            </w:r>
          </w:p>
          <w:p w14:paraId="455E7B7D" w14:textId="77777777" w:rsidR="00C56333" w:rsidRPr="005D5C4B" w:rsidRDefault="00C56333" w:rsidP="00C56333">
            <w:pPr>
              <w:jc w:val="both"/>
            </w:pPr>
            <w:r w:rsidRPr="005D5C4B">
              <w:t>- wystąpienia indywidualne studentów,</w:t>
            </w:r>
          </w:p>
          <w:p w14:paraId="54B43DA8" w14:textId="6A9D02AA" w:rsidR="00C56333" w:rsidRPr="005D5C4B" w:rsidRDefault="00C56333" w:rsidP="00C56333">
            <w:pPr>
              <w:jc w:val="both"/>
            </w:pPr>
            <w:r w:rsidRPr="005D5C4B">
              <w:t>- prezentacja filmów dydaktycznych,</w:t>
            </w:r>
          </w:p>
          <w:p w14:paraId="21AE284E" w14:textId="77777777" w:rsidR="00C56333" w:rsidRPr="005D5C4B" w:rsidRDefault="00C56333" w:rsidP="00C56333">
            <w:pPr>
              <w:jc w:val="both"/>
            </w:pPr>
            <w:r w:rsidRPr="005D5C4B">
              <w:t>- praca indywidualna,</w:t>
            </w:r>
          </w:p>
          <w:p w14:paraId="314CFCBF" w14:textId="77777777" w:rsidR="00C56333" w:rsidRPr="005D5C4B" w:rsidRDefault="00C56333" w:rsidP="00C56333">
            <w:pPr>
              <w:jc w:val="both"/>
            </w:pPr>
            <w:r w:rsidRPr="005D5C4B">
              <w:t>- samodzielne rozwiązywanie zadań,</w:t>
            </w:r>
          </w:p>
          <w:p w14:paraId="22BD71A9" w14:textId="5DC03CD6" w:rsidR="00AE37C2" w:rsidRPr="005D5C4B" w:rsidRDefault="00C56333" w:rsidP="00C56333">
            <w:r w:rsidRPr="005D5C4B">
              <w:t>- wykonywanie obliczeń.</w:t>
            </w:r>
          </w:p>
        </w:tc>
      </w:tr>
      <w:tr w:rsidR="00AE37C2" w:rsidRPr="005D5C4B" w14:paraId="2D2CE803" w14:textId="77777777" w:rsidTr="00023A99">
        <w:tc>
          <w:tcPr>
            <w:tcW w:w="3942" w:type="dxa"/>
            <w:shd w:val="clear" w:color="auto" w:fill="auto"/>
          </w:tcPr>
          <w:p w14:paraId="10EA4E38" w14:textId="77777777" w:rsidR="00AE37C2" w:rsidRPr="005D5C4B" w:rsidRDefault="00AE37C2" w:rsidP="00AE37C2">
            <w:r w:rsidRPr="005D5C4B">
              <w:t>Sposoby weryfikacji oraz formy dokumentowania osiągniętych efektów uczenia się</w:t>
            </w:r>
          </w:p>
        </w:tc>
        <w:tc>
          <w:tcPr>
            <w:tcW w:w="5344" w:type="dxa"/>
            <w:shd w:val="clear" w:color="auto" w:fill="auto"/>
          </w:tcPr>
          <w:p w14:paraId="4A53C9DF" w14:textId="38BA4076" w:rsidR="00C56333" w:rsidRPr="005D5C4B" w:rsidRDefault="00C56333" w:rsidP="00C56333">
            <w:pPr>
              <w:widowControl w:val="0"/>
              <w:suppressAutoHyphens/>
              <w:jc w:val="both"/>
              <w:rPr>
                <w:rFonts w:eastAsia="Arial Unicode MS"/>
                <w:kern w:val="1"/>
                <w:lang w:eastAsia="zh-CN" w:bidi="hi-IN"/>
              </w:rPr>
            </w:pPr>
            <w:r w:rsidRPr="005D5C4B">
              <w:rPr>
                <w:rFonts w:eastAsia="Arial Unicode MS"/>
                <w:kern w:val="1"/>
                <w:lang w:eastAsia="zh-CN" w:bidi="hi-IN"/>
              </w:rPr>
              <w:t>W1 – egzamin, przygotowanie projektu lub prezentacji, kolokwia, odpowiedź ustna.</w:t>
            </w:r>
          </w:p>
          <w:p w14:paraId="0B745DB6" w14:textId="77777777" w:rsidR="00C56333" w:rsidRPr="005D5C4B" w:rsidRDefault="00C56333" w:rsidP="00C56333">
            <w:pPr>
              <w:widowControl w:val="0"/>
              <w:suppressAutoHyphens/>
              <w:jc w:val="both"/>
              <w:rPr>
                <w:rFonts w:eastAsia="Arial Unicode MS"/>
                <w:kern w:val="1"/>
                <w:lang w:eastAsia="zh-CN" w:bidi="hi-IN"/>
              </w:rPr>
            </w:pPr>
            <w:r w:rsidRPr="005D5C4B">
              <w:rPr>
                <w:rFonts w:eastAsia="Arial Unicode MS"/>
                <w:kern w:val="1"/>
                <w:lang w:eastAsia="zh-CN" w:bidi="hi-IN"/>
              </w:rPr>
              <w:t>U1, U2 – wykonanie prac domowych, sprawozdania z ćwiczeń, projekt obliczeniowy, odpowiedzi ustne na zajęciach, aktywność na zajęciach.</w:t>
            </w:r>
          </w:p>
          <w:p w14:paraId="0A3BBF99" w14:textId="659B8740" w:rsidR="00C56333" w:rsidRPr="005D5C4B" w:rsidRDefault="00B3085C" w:rsidP="00C56333">
            <w:pPr>
              <w:widowControl w:val="0"/>
              <w:suppressAutoHyphens/>
              <w:jc w:val="both"/>
              <w:rPr>
                <w:rFonts w:eastAsia="Arial Unicode MS"/>
                <w:kern w:val="1"/>
                <w:lang w:eastAsia="zh-CN" w:bidi="hi-IN"/>
              </w:rPr>
            </w:pPr>
            <w:r w:rsidRPr="005D5C4B">
              <w:rPr>
                <w:rFonts w:eastAsia="Arial Unicode MS"/>
                <w:kern w:val="1"/>
                <w:lang w:eastAsia="zh-CN" w:bidi="hi-IN"/>
              </w:rPr>
              <w:t>K1</w:t>
            </w:r>
            <w:r w:rsidR="00C56333" w:rsidRPr="005D5C4B">
              <w:rPr>
                <w:rFonts w:eastAsia="Arial Unicode MS"/>
                <w:kern w:val="1"/>
                <w:lang w:eastAsia="zh-CN" w:bidi="hi-IN"/>
              </w:rPr>
              <w:t xml:space="preserve"> – udział w dyskusjach na zajęciach, praca w </w:t>
            </w:r>
            <w:r w:rsidR="00C56333" w:rsidRPr="005D5C4B">
              <w:rPr>
                <w:rFonts w:eastAsia="Arial Unicode MS"/>
                <w:kern w:val="1"/>
                <w:lang w:eastAsia="zh-CN" w:bidi="hi-IN"/>
              </w:rPr>
              <w:lastRenderedPageBreak/>
              <w:t>grupie podczas zajęć, obserwacja zaangażowania studenta.</w:t>
            </w:r>
          </w:p>
          <w:p w14:paraId="4B37F951" w14:textId="31321811" w:rsidR="00BF1306" w:rsidRPr="005D5C4B" w:rsidRDefault="00C56333" w:rsidP="00C56333">
            <w:pPr>
              <w:rPr>
                <w:rFonts w:eastAsia="Arial Unicode MS"/>
                <w:kern w:val="1"/>
                <w:lang w:eastAsia="zh-CN" w:bidi="hi-IN"/>
              </w:rPr>
            </w:pPr>
            <w:r w:rsidRPr="005D5C4B">
              <w:rPr>
                <w:rFonts w:eastAsia="Arial Unicode MS"/>
                <w:kern w:val="1"/>
                <w:lang w:eastAsia="zh-CN" w:bidi="hi-IN"/>
              </w:rPr>
              <w:t>Forma dokumentowania: dziennik prowadzącego, sprawozdania, kolokwia, prace egzaminacyjne.</w:t>
            </w:r>
          </w:p>
          <w:p w14:paraId="5C47AE08" w14:textId="77777777" w:rsidR="00C56333" w:rsidRPr="005D5C4B" w:rsidRDefault="00C56333" w:rsidP="00C56333">
            <w:pPr>
              <w:rPr>
                <w:color w:val="000000" w:themeColor="text1"/>
              </w:rPr>
            </w:pPr>
          </w:p>
          <w:p w14:paraId="3D646DC5" w14:textId="44EC4777" w:rsidR="00BF1306" w:rsidRPr="005D5C4B" w:rsidRDefault="00BF1306" w:rsidP="00BF1306">
            <w:pPr>
              <w:rPr>
                <w:color w:val="000000" w:themeColor="text1"/>
              </w:rPr>
            </w:pPr>
            <w:r w:rsidRPr="005D5C4B">
              <w:rPr>
                <w:color w:val="000000" w:themeColor="text1"/>
              </w:rPr>
              <w:t>Szczegółowe kryteria przy ocenie zaliczenia i prac kontrolnych</w:t>
            </w:r>
            <w:r w:rsidR="00C56333" w:rsidRPr="005D5C4B">
              <w:rPr>
                <w:color w:val="000000" w:themeColor="text1"/>
              </w:rPr>
              <w:t>:</w:t>
            </w:r>
          </w:p>
          <w:p w14:paraId="50D3F422" w14:textId="77777777" w:rsidR="00BF1306" w:rsidRPr="005D5C4B" w:rsidRDefault="00BF1306" w:rsidP="00BF1306">
            <w:pPr>
              <w:pStyle w:val="Akapitzlist"/>
              <w:numPr>
                <w:ilvl w:val="0"/>
                <w:numId w:val="1"/>
              </w:numPr>
              <w:ind w:left="197" w:hanging="218"/>
              <w:jc w:val="both"/>
              <w:rPr>
                <w:color w:val="000000" w:themeColor="text1"/>
              </w:rPr>
            </w:pPr>
            <w:r w:rsidRPr="005D5C4B">
              <w:rPr>
                <w:color w:val="000000" w:themeColor="text1"/>
              </w:rPr>
              <w:t xml:space="preserve">student wykazuje dostateczny (3,0) stopień wiedzy, umiejętności lub kompetencji, gdy uzyskuje od 51 do 60% sumy punktów określających maksymalny poziom wiedzy lub umiejętności z danego przedmiotu (odpowiednio, przy zaliczeniu cząstkowym – jego części), </w:t>
            </w:r>
          </w:p>
          <w:p w14:paraId="6E49A6D2" w14:textId="77777777" w:rsidR="00BF1306" w:rsidRPr="005D5C4B" w:rsidRDefault="00BF1306" w:rsidP="00BF1306">
            <w:pPr>
              <w:pStyle w:val="Akapitzlist"/>
              <w:numPr>
                <w:ilvl w:val="0"/>
                <w:numId w:val="1"/>
              </w:numPr>
              <w:ind w:left="197" w:hanging="218"/>
              <w:jc w:val="both"/>
              <w:rPr>
                <w:color w:val="000000" w:themeColor="text1"/>
              </w:rPr>
            </w:pPr>
            <w:r w:rsidRPr="005D5C4B">
              <w:rPr>
                <w:color w:val="000000" w:themeColor="text1"/>
              </w:rPr>
              <w:t xml:space="preserve">student wykazuje dostateczny plus (3,5) stopień wiedzy, umiejętności lub kompetencji, gdy uzyskuje od 61 do 70% sumy punktów określających maksymalny poziom wiedzy lub umiejętności z danego przedmiotu (odpowiednio – jego części), </w:t>
            </w:r>
          </w:p>
          <w:p w14:paraId="1A91CAC4" w14:textId="77777777" w:rsidR="00BF1306" w:rsidRPr="005D5C4B" w:rsidRDefault="00BF1306" w:rsidP="00BF1306">
            <w:pPr>
              <w:pStyle w:val="Akapitzlist"/>
              <w:numPr>
                <w:ilvl w:val="0"/>
                <w:numId w:val="1"/>
              </w:numPr>
              <w:ind w:left="197" w:hanging="218"/>
              <w:jc w:val="both"/>
              <w:rPr>
                <w:color w:val="000000" w:themeColor="text1"/>
              </w:rPr>
            </w:pPr>
            <w:r w:rsidRPr="005D5C4B">
              <w:rPr>
                <w:color w:val="000000" w:themeColor="text1"/>
              </w:rPr>
              <w:t xml:space="preserve">student wykazuje dobry stopień (4,0) wiedzy, umiejętności lub kompetencji, gdy uzyskuje od 71 do 80% sumy punktów określających maksymalny poziom wiedzy lub umiejętności z danego przedmiotu (odpowiednio – jego części), </w:t>
            </w:r>
          </w:p>
          <w:p w14:paraId="661C7A12" w14:textId="77777777" w:rsidR="00BF1306" w:rsidRPr="005D5C4B" w:rsidRDefault="00BF1306" w:rsidP="00BF1306">
            <w:pPr>
              <w:pStyle w:val="Akapitzlist"/>
              <w:numPr>
                <w:ilvl w:val="0"/>
                <w:numId w:val="1"/>
              </w:numPr>
              <w:ind w:left="197" w:hanging="218"/>
              <w:jc w:val="both"/>
              <w:rPr>
                <w:rFonts w:eastAsiaTheme="minorHAnsi"/>
                <w:color w:val="000000" w:themeColor="text1"/>
              </w:rPr>
            </w:pPr>
            <w:r w:rsidRPr="005D5C4B">
              <w:rPr>
                <w:color w:val="000000" w:themeColor="text1"/>
              </w:rPr>
              <w:t>student wykazuje plus dobry stopień (4,5) wiedzy, umiejętności lub kompetencji, gdy uzyskuje od 81 do 90% sumy punktów określających maksymalny poziom wiedzy lub umiejętności z danego przedmiotu (odpowiednio – jego części),</w:t>
            </w:r>
          </w:p>
          <w:p w14:paraId="09B2D89E" w14:textId="0CE7B2AB" w:rsidR="00AE37C2" w:rsidRPr="005D5C4B" w:rsidRDefault="00BF1306" w:rsidP="00AE37C2">
            <w:pPr>
              <w:pStyle w:val="Akapitzlist"/>
              <w:numPr>
                <w:ilvl w:val="0"/>
                <w:numId w:val="1"/>
              </w:numPr>
              <w:ind w:left="197" w:hanging="218"/>
              <w:jc w:val="both"/>
              <w:rPr>
                <w:rFonts w:eastAsiaTheme="minorHAnsi"/>
                <w:color w:val="000000" w:themeColor="text1"/>
              </w:rPr>
            </w:pPr>
            <w:r w:rsidRPr="005D5C4B">
              <w:rPr>
                <w:color w:val="000000" w:themeColor="text1"/>
              </w:rPr>
              <w:t>student wykazuje bardzo dobry stopień (5,0) wiedzy, umiejętności lub kompetencji, gdy uzyskuje powyżej 91% sumy punktów określających maksymalny poziom wiedzy lub umiejętności z danego przedmiotu (odpowiednio – jego części).</w:t>
            </w:r>
          </w:p>
        </w:tc>
      </w:tr>
      <w:tr w:rsidR="00AE37C2" w:rsidRPr="005D5C4B" w14:paraId="0816077C" w14:textId="77777777" w:rsidTr="00023A99">
        <w:tc>
          <w:tcPr>
            <w:tcW w:w="3942" w:type="dxa"/>
            <w:shd w:val="clear" w:color="auto" w:fill="auto"/>
          </w:tcPr>
          <w:p w14:paraId="2ECD80ED" w14:textId="77777777" w:rsidR="00AE37C2" w:rsidRPr="005D5C4B" w:rsidRDefault="00AE37C2" w:rsidP="00AE37C2">
            <w:r w:rsidRPr="005D5C4B">
              <w:lastRenderedPageBreak/>
              <w:t>Elementy i wagi mające wpływ na ocenę końcową</w:t>
            </w:r>
          </w:p>
          <w:p w14:paraId="1CD7C2AA" w14:textId="77777777" w:rsidR="00AE37C2" w:rsidRPr="005D5C4B" w:rsidRDefault="00AE37C2" w:rsidP="00AE37C2"/>
          <w:p w14:paraId="1C53C0F0" w14:textId="77777777" w:rsidR="00AE37C2" w:rsidRPr="005D5C4B" w:rsidRDefault="00AE37C2" w:rsidP="00AE37C2"/>
        </w:tc>
        <w:tc>
          <w:tcPr>
            <w:tcW w:w="5344" w:type="dxa"/>
            <w:shd w:val="clear" w:color="auto" w:fill="auto"/>
          </w:tcPr>
          <w:p w14:paraId="0A247E1C" w14:textId="77777777" w:rsidR="00C56333" w:rsidRPr="005D5C4B" w:rsidRDefault="00BF1306" w:rsidP="00C56333">
            <w:pPr>
              <w:jc w:val="both"/>
              <w:rPr>
                <w:color w:val="000000" w:themeColor="text1"/>
              </w:rPr>
            </w:pPr>
            <w:r w:rsidRPr="005D5C4B">
              <w:rPr>
                <w:color w:val="000000" w:themeColor="text1"/>
              </w:rPr>
              <w:t>O</w:t>
            </w:r>
            <w:r w:rsidR="00C56333" w:rsidRPr="005D5C4B">
              <w:rPr>
                <w:color w:val="000000" w:themeColor="text1"/>
              </w:rPr>
              <w:t>cena końcowa = ocena z egzaminu.</w:t>
            </w:r>
          </w:p>
          <w:p w14:paraId="541D6E1C" w14:textId="0B7106F4" w:rsidR="00BF1306" w:rsidRPr="005D5C4B" w:rsidRDefault="00BF1306" w:rsidP="00C56333">
            <w:pPr>
              <w:jc w:val="both"/>
            </w:pPr>
            <w:r w:rsidRPr="005D5C4B">
              <w:rPr>
                <w:color w:val="000000" w:themeColor="text1"/>
              </w:rPr>
              <w:t>Warunki te są przedstawiane na pierwszych zajęciach z modułu.</w:t>
            </w:r>
          </w:p>
        </w:tc>
      </w:tr>
      <w:tr w:rsidR="00AE37C2" w:rsidRPr="005D5C4B" w14:paraId="23E86523" w14:textId="77777777" w:rsidTr="00B3085C">
        <w:trPr>
          <w:trHeight w:val="693"/>
        </w:trPr>
        <w:tc>
          <w:tcPr>
            <w:tcW w:w="3942" w:type="dxa"/>
            <w:shd w:val="clear" w:color="auto" w:fill="auto"/>
          </w:tcPr>
          <w:p w14:paraId="2B76F77F" w14:textId="3506A5E1" w:rsidR="00AE37C2" w:rsidRPr="005D5C4B" w:rsidRDefault="00AE37C2" w:rsidP="00AE37C2">
            <w:pPr>
              <w:jc w:val="both"/>
            </w:pPr>
            <w:r w:rsidRPr="005D5C4B">
              <w:t>Bilans punktów ECTS</w:t>
            </w:r>
          </w:p>
          <w:p w14:paraId="5029D552" w14:textId="79D6ECA4" w:rsidR="00BF1306" w:rsidRPr="005D5C4B" w:rsidRDefault="00BF1306" w:rsidP="00AE37C2">
            <w:pPr>
              <w:jc w:val="both"/>
              <w:rPr>
                <w:color w:val="FF0000"/>
              </w:rPr>
            </w:pPr>
          </w:p>
        </w:tc>
        <w:tc>
          <w:tcPr>
            <w:tcW w:w="5344" w:type="dxa"/>
            <w:shd w:val="clear" w:color="auto" w:fill="auto"/>
          </w:tcPr>
          <w:p w14:paraId="376084E0" w14:textId="77777777" w:rsidR="00C56333" w:rsidRPr="005D5C4B" w:rsidRDefault="00C56333" w:rsidP="00C56333">
            <w:pPr>
              <w:rPr>
                <w:i/>
              </w:rPr>
            </w:pPr>
            <w:r w:rsidRPr="005D5C4B">
              <w:rPr>
                <w:b/>
                <w:i/>
              </w:rPr>
              <w:t>Kontaktowe</w:t>
            </w:r>
          </w:p>
          <w:p w14:paraId="0CD668E2" w14:textId="77777777" w:rsidR="00C56333" w:rsidRPr="005D5C4B" w:rsidRDefault="00C56333" w:rsidP="00C56333">
            <w:pPr>
              <w:pStyle w:val="Akapitzlist"/>
              <w:numPr>
                <w:ilvl w:val="0"/>
                <w:numId w:val="5"/>
              </w:numPr>
              <w:ind w:left="480"/>
              <w:rPr>
                <w:i/>
              </w:rPr>
            </w:pPr>
            <w:r w:rsidRPr="005D5C4B">
              <w:rPr>
                <w:i/>
              </w:rPr>
              <w:t xml:space="preserve">wykład (14 godz./0,56 ECTS), </w:t>
            </w:r>
          </w:p>
          <w:p w14:paraId="188261F9" w14:textId="77777777" w:rsidR="00C56333" w:rsidRPr="005D5C4B" w:rsidRDefault="00C56333" w:rsidP="00C56333">
            <w:pPr>
              <w:pStyle w:val="Akapitzlist"/>
              <w:numPr>
                <w:ilvl w:val="0"/>
                <w:numId w:val="5"/>
              </w:numPr>
              <w:ind w:left="480"/>
              <w:rPr>
                <w:i/>
              </w:rPr>
            </w:pPr>
            <w:r w:rsidRPr="005D5C4B">
              <w:rPr>
                <w:i/>
              </w:rPr>
              <w:t xml:space="preserve">ćwiczenia (21 godz./0,84 ECTS), </w:t>
            </w:r>
          </w:p>
          <w:p w14:paraId="5CF545F4" w14:textId="77777777" w:rsidR="00C56333" w:rsidRPr="005D5C4B" w:rsidRDefault="00C56333" w:rsidP="00C56333">
            <w:pPr>
              <w:pStyle w:val="Akapitzlist"/>
              <w:numPr>
                <w:ilvl w:val="0"/>
                <w:numId w:val="5"/>
              </w:numPr>
              <w:ind w:left="480"/>
              <w:rPr>
                <w:i/>
              </w:rPr>
            </w:pPr>
            <w:r w:rsidRPr="005D5C4B">
              <w:rPr>
                <w:i/>
              </w:rPr>
              <w:t xml:space="preserve">konsultacje (2 godz./0,08 ECTS), </w:t>
            </w:r>
          </w:p>
          <w:p w14:paraId="488979D5" w14:textId="77777777" w:rsidR="00C56333" w:rsidRPr="005D5C4B" w:rsidRDefault="00C56333" w:rsidP="00C56333">
            <w:pPr>
              <w:pStyle w:val="Akapitzlist"/>
              <w:numPr>
                <w:ilvl w:val="0"/>
                <w:numId w:val="5"/>
              </w:numPr>
              <w:ind w:left="480"/>
              <w:rPr>
                <w:i/>
              </w:rPr>
            </w:pPr>
            <w:r w:rsidRPr="005D5C4B">
              <w:rPr>
                <w:i/>
              </w:rPr>
              <w:t xml:space="preserve">egzamin (2 godz./0,08 ECTS). </w:t>
            </w:r>
          </w:p>
          <w:p w14:paraId="5D13B233" w14:textId="77777777" w:rsidR="00C56333" w:rsidRPr="005D5C4B" w:rsidRDefault="00C56333" w:rsidP="00C56333">
            <w:pPr>
              <w:ind w:left="120"/>
              <w:rPr>
                <w:i/>
              </w:rPr>
            </w:pPr>
            <w:r w:rsidRPr="005D5C4B">
              <w:rPr>
                <w:i/>
              </w:rPr>
              <w:t>Łącznie – 39 godz./1,56 ECTS</w:t>
            </w:r>
          </w:p>
          <w:p w14:paraId="57A835DA" w14:textId="77777777" w:rsidR="00C56333" w:rsidRPr="005D5C4B" w:rsidRDefault="00C56333" w:rsidP="00C56333">
            <w:pPr>
              <w:rPr>
                <w:b/>
                <w:i/>
              </w:rPr>
            </w:pPr>
          </w:p>
          <w:p w14:paraId="6B26D88A" w14:textId="77777777" w:rsidR="00C56333" w:rsidRPr="005D5C4B" w:rsidRDefault="00C56333" w:rsidP="00C56333">
            <w:pPr>
              <w:rPr>
                <w:b/>
                <w:i/>
              </w:rPr>
            </w:pPr>
            <w:proofErr w:type="spellStart"/>
            <w:r w:rsidRPr="005D5C4B">
              <w:rPr>
                <w:b/>
                <w:i/>
              </w:rPr>
              <w:t>Niekontaktowe</w:t>
            </w:r>
            <w:proofErr w:type="spellEnd"/>
          </w:p>
          <w:p w14:paraId="4C4E18FF" w14:textId="77777777" w:rsidR="00C56333" w:rsidRPr="005D5C4B" w:rsidRDefault="00C56333" w:rsidP="00C56333">
            <w:pPr>
              <w:pStyle w:val="Akapitzlist"/>
              <w:numPr>
                <w:ilvl w:val="0"/>
                <w:numId w:val="6"/>
              </w:numPr>
              <w:ind w:left="480"/>
              <w:rPr>
                <w:i/>
              </w:rPr>
            </w:pPr>
            <w:r w:rsidRPr="005D5C4B">
              <w:rPr>
                <w:i/>
              </w:rPr>
              <w:t>przygotowanie do zajęć (15 godz./0,6 ECTS),</w:t>
            </w:r>
          </w:p>
          <w:p w14:paraId="6B21DA02" w14:textId="77777777" w:rsidR="00C56333" w:rsidRPr="005D5C4B" w:rsidRDefault="00C56333" w:rsidP="00C56333">
            <w:pPr>
              <w:pStyle w:val="Akapitzlist"/>
              <w:numPr>
                <w:ilvl w:val="0"/>
                <w:numId w:val="6"/>
              </w:numPr>
              <w:ind w:left="480"/>
              <w:rPr>
                <w:i/>
              </w:rPr>
            </w:pPr>
            <w:r w:rsidRPr="005D5C4B">
              <w:rPr>
                <w:i/>
              </w:rPr>
              <w:t>studiowanie literatury (15 godz./0,6 ECTS),</w:t>
            </w:r>
          </w:p>
          <w:p w14:paraId="0CB563BC" w14:textId="77777777" w:rsidR="00C56333" w:rsidRPr="005D5C4B" w:rsidRDefault="00C56333" w:rsidP="00C56333">
            <w:pPr>
              <w:pStyle w:val="Akapitzlist"/>
              <w:numPr>
                <w:ilvl w:val="0"/>
                <w:numId w:val="6"/>
              </w:numPr>
              <w:ind w:left="480"/>
              <w:rPr>
                <w:i/>
              </w:rPr>
            </w:pPr>
            <w:r w:rsidRPr="005D5C4B">
              <w:rPr>
                <w:i/>
              </w:rPr>
              <w:t>przygotowanie do kolokwiów (15 godz./0,6),</w:t>
            </w:r>
          </w:p>
          <w:p w14:paraId="25BFD114" w14:textId="77777777" w:rsidR="00C56333" w:rsidRPr="005D5C4B" w:rsidRDefault="00C56333" w:rsidP="00C56333">
            <w:pPr>
              <w:pStyle w:val="Akapitzlist"/>
              <w:numPr>
                <w:ilvl w:val="0"/>
                <w:numId w:val="6"/>
              </w:numPr>
              <w:ind w:left="480"/>
              <w:rPr>
                <w:i/>
              </w:rPr>
            </w:pPr>
            <w:r w:rsidRPr="005D5C4B">
              <w:rPr>
                <w:i/>
              </w:rPr>
              <w:lastRenderedPageBreak/>
              <w:t>przygotowanie do egzaminu (16 godz./0,64),</w:t>
            </w:r>
          </w:p>
          <w:p w14:paraId="4E5EBF94" w14:textId="4AC4C56E" w:rsidR="00AE37C2" w:rsidRPr="005D5C4B" w:rsidRDefault="00C56333" w:rsidP="00C56333">
            <w:pPr>
              <w:jc w:val="both"/>
            </w:pPr>
            <w:r w:rsidRPr="005D5C4B">
              <w:rPr>
                <w:i/>
              </w:rPr>
              <w:t>Łącznie 61 godz./2,44 ECTS</w:t>
            </w:r>
          </w:p>
        </w:tc>
      </w:tr>
      <w:tr w:rsidR="00AE37C2" w:rsidRPr="005D5C4B" w14:paraId="38FA4A4E" w14:textId="77777777" w:rsidTr="00101F00">
        <w:trPr>
          <w:trHeight w:val="718"/>
        </w:trPr>
        <w:tc>
          <w:tcPr>
            <w:tcW w:w="3942" w:type="dxa"/>
            <w:shd w:val="clear" w:color="auto" w:fill="auto"/>
          </w:tcPr>
          <w:p w14:paraId="257CB76C" w14:textId="77777777" w:rsidR="00AE37C2" w:rsidRPr="005D5C4B" w:rsidRDefault="00AE37C2" w:rsidP="00AE37C2">
            <w:r w:rsidRPr="005D5C4B">
              <w:lastRenderedPageBreak/>
              <w:t>Nakład pracy związany z zajęciami wymagającymi bezpośredniego udziału nauczyciela akademickiego</w:t>
            </w:r>
          </w:p>
        </w:tc>
        <w:tc>
          <w:tcPr>
            <w:tcW w:w="5344" w:type="dxa"/>
            <w:shd w:val="clear" w:color="auto" w:fill="auto"/>
          </w:tcPr>
          <w:p w14:paraId="4DFE89D3" w14:textId="0CC4D5FF" w:rsidR="00AE37C2" w:rsidRPr="005D5C4B" w:rsidRDefault="00C56333" w:rsidP="0032363D">
            <w:pPr>
              <w:jc w:val="both"/>
            </w:pPr>
            <w:r w:rsidRPr="005D5C4B">
              <w:rPr>
                <w:i/>
              </w:rPr>
              <w:t>udział w wykładach – 14 godz.; w ćwiczeniach – 21 godz.; konsultacjach – 2 godz.; egzamin – 2 godz.</w:t>
            </w:r>
          </w:p>
        </w:tc>
      </w:tr>
    </w:tbl>
    <w:p w14:paraId="08221BA8" w14:textId="77777777" w:rsidR="00023A99" w:rsidRPr="00B3085C" w:rsidRDefault="00023A99" w:rsidP="00023A99"/>
    <w:p w14:paraId="1F8BC40A" w14:textId="77777777" w:rsidR="00023A99" w:rsidRPr="00B3085C" w:rsidRDefault="00023A99" w:rsidP="00023A99"/>
    <w:p w14:paraId="4FEC7C76" w14:textId="77777777" w:rsidR="00023A99" w:rsidRPr="00B3085C" w:rsidRDefault="00023A99" w:rsidP="00023A99"/>
    <w:p w14:paraId="3E6FA9FC" w14:textId="77777777" w:rsidR="00023A99" w:rsidRPr="00B3085C" w:rsidRDefault="00023A99" w:rsidP="00023A99"/>
    <w:p w14:paraId="5CD910B2" w14:textId="77777777" w:rsidR="00023A99" w:rsidRPr="00B3085C" w:rsidRDefault="00023A99" w:rsidP="00023A99">
      <w:pPr>
        <w:rPr>
          <w:i/>
          <w:iCs/>
        </w:rPr>
      </w:pPr>
    </w:p>
    <w:p w14:paraId="0E6268F0" w14:textId="77777777" w:rsidR="00023A99" w:rsidRPr="00B3085C" w:rsidRDefault="00023A99" w:rsidP="00023A99">
      <w:pPr>
        <w:rPr>
          <w:iCs/>
        </w:rPr>
      </w:pPr>
    </w:p>
    <w:p w14:paraId="706084B8" w14:textId="77777777" w:rsidR="00F82B32" w:rsidRPr="00B3085C" w:rsidRDefault="00F82B32"/>
    <w:sectPr w:rsidR="00F82B32" w:rsidRPr="00B3085C" w:rsidSect="00992D17">
      <w:footerReference w:type="default" r:id="rId8"/>
      <w:headerReference w:type="first" r:id="rId9"/>
      <w:pgSz w:w="11906" w:h="16838"/>
      <w:pgMar w:top="1418" w:right="1418" w:bottom="107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CB15" w14:textId="77777777" w:rsidR="00AF4D4F" w:rsidRDefault="00AF4D4F" w:rsidP="008D17BD">
      <w:r>
        <w:separator/>
      </w:r>
    </w:p>
  </w:endnote>
  <w:endnote w:type="continuationSeparator" w:id="0">
    <w:p w14:paraId="19179E81" w14:textId="77777777" w:rsidR="00AF4D4F" w:rsidRDefault="00AF4D4F" w:rsidP="008D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095364"/>
      <w:docPartObj>
        <w:docPartGallery w:val="Page Numbers (Bottom of Page)"/>
        <w:docPartUnique/>
      </w:docPartObj>
    </w:sdtPr>
    <w:sdtEndPr/>
    <w:sdtContent>
      <w:sdt>
        <w:sdtPr>
          <w:id w:val="860082579"/>
          <w:docPartObj>
            <w:docPartGallery w:val="Page Numbers (Top of Page)"/>
            <w:docPartUnique/>
          </w:docPartObj>
        </w:sdtPr>
        <w:sdtEndPr/>
        <w:sdtContent>
          <w:p w14:paraId="2E148475" w14:textId="7C83C9DB" w:rsidR="00992D17" w:rsidRDefault="00992D17">
            <w:pPr>
              <w:pStyle w:val="Stopka"/>
              <w:jc w:val="right"/>
            </w:pPr>
            <w:r w:rsidRPr="00992D17">
              <w:rPr>
                <w:bCs/>
              </w:rPr>
              <w:fldChar w:fldCharType="begin"/>
            </w:r>
            <w:r w:rsidRPr="00992D17">
              <w:rPr>
                <w:bCs/>
              </w:rPr>
              <w:instrText>PAGE</w:instrText>
            </w:r>
            <w:r w:rsidRPr="00992D17">
              <w:rPr>
                <w:bCs/>
              </w:rPr>
              <w:fldChar w:fldCharType="separate"/>
            </w:r>
            <w:r w:rsidR="00B3085C">
              <w:rPr>
                <w:bCs/>
                <w:noProof/>
              </w:rPr>
              <w:t>3</w:t>
            </w:r>
            <w:r w:rsidRPr="00992D17">
              <w:rPr>
                <w:bCs/>
              </w:rPr>
              <w:fldChar w:fldCharType="end"/>
            </w:r>
            <w:r w:rsidRPr="00992D17">
              <w:rPr>
                <w:bCs/>
              </w:rPr>
              <w:t>/</w:t>
            </w:r>
            <w:r w:rsidRPr="00992D17">
              <w:rPr>
                <w:bCs/>
              </w:rPr>
              <w:fldChar w:fldCharType="begin"/>
            </w:r>
            <w:r w:rsidRPr="00992D17">
              <w:rPr>
                <w:bCs/>
              </w:rPr>
              <w:instrText>NUMPAGES</w:instrText>
            </w:r>
            <w:r w:rsidRPr="00992D17">
              <w:rPr>
                <w:bCs/>
              </w:rPr>
              <w:fldChar w:fldCharType="separate"/>
            </w:r>
            <w:r w:rsidR="00B3085C">
              <w:rPr>
                <w:bCs/>
                <w:noProof/>
              </w:rPr>
              <w:t>4</w:t>
            </w:r>
            <w:r w:rsidRPr="00992D17">
              <w:rPr>
                <w:bCs/>
              </w:rPr>
              <w:fldChar w:fldCharType="end"/>
            </w:r>
          </w:p>
        </w:sdtContent>
      </w:sdt>
    </w:sdtContent>
  </w:sdt>
  <w:p w14:paraId="642A4BA0" w14:textId="77777777" w:rsidR="008D17BD" w:rsidRDefault="008D17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064DE" w14:textId="77777777" w:rsidR="00AF4D4F" w:rsidRDefault="00AF4D4F" w:rsidP="008D17BD">
      <w:r>
        <w:separator/>
      </w:r>
    </w:p>
  </w:footnote>
  <w:footnote w:type="continuationSeparator" w:id="0">
    <w:p w14:paraId="7158EEBF" w14:textId="77777777" w:rsidR="00AF4D4F" w:rsidRDefault="00AF4D4F" w:rsidP="008D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299A" w14:textId="244170B2" w:rsidR="00992D17" w:rsidRPr="00DD52EE" w:rsidRDefault="00DC2364" w:rsidP="00992D17">
    <w:pPr>
      <w:jc w:val="right"/>
      <w:rPr>
        <w:bCs/>
        <w:sz w:val="22"/>
        <w:szCs w:val="22"/>
      </w:rPr>
    </w:pPr>
    <w:r w:rsidRPr="00DD52EE">
      <w:rPr>
        <w:bCs/>
        <w:sz w:val="22"/>
        <w:szCs w:val="22"/>
      </w:rPr>
      <w:t xml:space="preserve">Załącznik  </w:t>
    </w:r>
    <w:r w:rsidR="00DD52EE" w:rsidRPr="00DD52EE">
      <w:rPr>
        <w:bCs/>
        <w:sz w:val="22"/>
        <w:szCs w:val="22"/>
      </w:rPr>
      <w:t xml:space="preserve">nr 4 </w:t>
    </w:r>
    <w:r w:rsidRPr="00DD52EE">
      <w:rPr>
        <w:bCs/>
        <w:sz w:val="22"/>
        <w:szCs w:val="22"/>
      </w:rPr>
      <w:t xml:space="preserve">do Uchwały nr </w:t>
    </w:r>
    <w:r w:rsidR="00F74AC9" w:rsidRPr="00DD52EE">
      <w:rPr>
        <w:bCs/>
        <w:sz w:val="22"/>
        <w:szCs w:val="22"/>
      </w:rPr>
      <w:t>3/2023-2024</w:t>
    </w:r>
  </w:p>
  <w:p w14:paraId="515CDE53" w14:textId="2D969177" w:rsidR="00992D17" w:rsidRPr="00DD52EE" w:rsidRDefault="00992D17" w:rsidP="00992D17">
    <w:pPr>
      <w:jc w:val="right"/>
      <w:rPr>
        <w:bCs/>
        <w:sz w:val="22"/>
        <w:szCs w:val="22"/>
      </w:rPr>
    </w:pPr>
    <w:r w:rsidRPr="00DD52EE">
      <w:rPr>
        <w:bCs/>
        <w:sz w:val="22"/>
        <w:szCs w:val="22"/>
      </w:rPr>
      <w:t xml:space="preserve">                                                            Senatu UP w Lublinie z dnia</w:t>
    </w:r>
    <w:r w:rsidR="00F74AC9" w:rsidRPr="00DD52EE">
      <w:rPr>
        <w:bCs/>
        <w:sz w:val="22"/>
        <w:szCs w:val="22"/>
      </w:rPr>
      <w:t xml:space="preserve"> 27 października 2023 </w:t>
    </w:r>
    <w:r w:rsidRPr="00DD52EE">
      <w:rPr>
        <w:bCs/>
        <w:sz w:val="22"/>
        <w:szCs w:val="22"/>
      </w:rPr>
      <w:t>r.</w:t>
    </w:r>
  </w:p>
  <w:p w14:paraId="72C9E6C6" w14:textId="77777777" w:rsidR="00992D17" w:rsidRPr="00F02E5D" w:rsidRDefault="00992D17" w:rsidP="00992D17">
    <w:pPr>
      <w:tabs>
        <w:tab w:val="left" w:pos="5205"/>
      </w:tabs>
      <w:spacing w:after="120"/>
      <w:rPr>
        <w:bCs/>
      </w:rPr>
    </w:pPr>
    <w:r w:rsidRPr="00F02E5D">
      <w:rPr>
        <w:bCs/>
      </w:rPr>
      <w:t xml:space="preserve"> </w:t>
    </w:r>
    <w:r>
      <w:rPr>
        <w:bCs/>
      </w:rPr>
      <w:tab/>
    </w:r>
  </w:p>
  <w:p w14:paraId="46A724DA" w14:textId="77777777" w:rsidR="00992D17" w:rsidRDefault="00992D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7E76"/>
    <w:multiLevelType w:val="hybridMultilevel"/>
    <w:tmpl w:val="8D101D06"/>
    <w:lvl w:ilvl="0" w:tplc="BCE88E22">
      <w:start w:val="1"/>
      <w:numFmt w:val="bullet"/>
      <w:lvlText w:val=""/>
      <w:lvlJc w:val="left"/>
      <w:pPr>
        <w:ind w:left="720" w:hanging="360"/>
      </w:pPr>
      <w:rPr>
        <w:rFonts w:ascii="Symbol" w:hAnsi="Symbol" w:hint="default"/>
        <w:i w:val="0"/>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8B304E9"/>
    <w:multiLevelType w:val="hybridMultilevel"/>
    <w:tmpl w:val="36B2B990"/>
    <w:lvl w:ilvl="0" w:tplc="BCE88E22">
      <w:start w:val="1"/>
      <w:numFmt w:val="bullet"/>
      <w:lvlText w:val=""/>
      <w:lvlJc w:val="left"/>
      <w:pPr>
        <w:ind w:left="502" w:hanging="360"/>
      </w:pPr>
      <w:rPr>
        <w:rFonts w:ascii="Symbol" w:hAnsi="Symbol" w:hint="default"/>
        <w:i w:val="0"/>
        <w:color w:val="auto"/>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 w15:restartNumberingAfterBreak="0">
    <w:nsid w:val="41620235"/>
    <w:multiLevelType w:val="hybridMultilevel"/>
    <w:tmpl w:val="8174D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883ADA"/>
    <w:multiLevelType w:val="hybridMultilevel"/>
    <w:tmpl w:val="B4581A68"/>
    <w:lvl w:ilvl="0" w:tplc="834C751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6F430E9"/>
    <w:multiLevelType w:val="hybridMultilevel"/>
    <w:tmpl w:val="E24615F2"/>
    <w:lvl w:ilvl="0" w:tplc="2A44DF0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B9E3882"/>
    <w:multiLevelType w:val="hybridMultilevel"/>
    <w:tmpl w:val="01D22EC2"/>
    <w:lvl w:ilvl="0" w:tplc="21C86E2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A99"/>
    <w:rsid w:val="0000553A"/>
    <w:rsid w:val="00023A99"/>
    <w:rsid w:val="000A06C8"/>
    <w:rsid w:val="000F587A"/>
    <w:rsid w:val="00101F00"/>
    <w:rsid w:val="001B2B9D"/>
    <w:rsid w:val="00206860"/>
    <w:rsid w:val="00207270"/>
    <w:rsid w:val="002E46FB"/>
    <w:rsid w:val="00304652"/>
    <w:rsid w:val="0032363D"/>
    <w:rsid w:val="0032739E"/>
    <w:rsid w:val="003853C3"/>
    <w:rsid w:val="003B32BF"/>
    <w:rsid w:val="003E3BB2"/>
    <w:rsid w:val="004464EF"/>
    <w:rsid w:val="00457679"/>
    <w:rsid w:val="00500899"/>
    <w:rsid w:val="0057184E"/>
    <w:rsid w:val="005A4862"/>
    <w:rsid w:val="005D5C4B"/>
    <w:rsid w:val="00647EED"/>
    <w:rsid w:val="006742BC"/>
    <w:rsid w:val="006E3728"/>
    <w:rsid w:val="006F3573"/>
    <w:rsid w:val="00874A0E"/>
    <w:rsid w:val="0089357C"/>
    <w:rsid w:val="008D17BD"/>
    <w:rsid w:val="0092197E"/>
    <w:rsid w:val="00945FAD"/>
    <w:rsid w:val="00962D61"/>
    <w:rsid w:val="00980EBB"/>
    <w:rsid w:val="00991350"/>
    <w:rsid w:val="00992D17"/>
    <w:rsid w:val="009C2572"/>
    <w:rsid w:val="009E49CA"/>
    <w:rsid w:val="00A6673A"/>
    <w:rsid w:val="00AE37C2"/>
    <w:rsid w:val="00AF4D4F"/>
    <w:rsid w:val="00B245A3"/>
    <w:rsid w:val="00B3085C"/>
    <w:rsid w:val="00B400C0"/>
    <w:rsid w:val="00BA3FF3"/>
    <w:rsid w:val="00BF1306"/>
    <w:rsid w:val="00BF24E9"/>
    <w:rsid w:val="00C56333"/>
    <w:rsid w:val="00C82AC5"/>
    <w:rsid w:val="00C922BA"/>
    <w:rsid w:val="00CD423D"/>
    <w:rsid w:val="00D2747A"/>
    <w:rsid w:val="00D44EEE"/>
    <w:rsid w:val="00DC2364"/>
    <w:rsid w:val="00DC5EA9"/>
    <w:rsid w:val="00DD52EE"/>
    <w:rsid w:val="00DF6048"/>
    <w:rsid w:val="00E54369"/>
    <w:rsid w:val="00EC3848"/>
    <w:rsid w:val="00F02DA4"/>
    <w:rsid w:val="00F02E5D"/>
    <w:rsid w:val="00F16EC5"/>
    <w:rsid w:val="00F17FA9"/>
    <w:rsid w:val="00F50FB4"/>
    <w:rsid w:val="00F74AC9"/>
    <w:rsid w:val="00F82B32"/>
    <w:rsid w:val="00FB095E"/>
    <w:rsid w:val="00FB0EF8"/>
    <w:rsid w:val="00FC2490"/>
    <w:rsid w:val="00FE1E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BD5F0"/>
  <w15:docId w15:val="{D19C1454-CAC9-4119-B238-6D53EDE6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A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17BD"/>
    <w:pPr>
      <w:tabs>
        <w:tab w:val="center" w:pos="4536"/>
        <w:tab w:val="right" w:pos="9072"/>
      </w:tabs>
    </w:pPr>
  </w:style>
  <w:style w:type="character" w:customStyle="1" w:styleId="NagwekZnak">
    <w:name w:val="Nagłówek Znak"/>
    <w:basedOn w:val="Domylnaczcionkaakapitu"/>
    <w:link w:val="Nagwek"/>
    <w:uiPriority w:val="99"/>
    <w:rsid w:val="008D17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17BD"/>
    <w:pPr>
      <w:tabs>
        <w:tab w:val="center" w:pos="4536"/>
        <w:tab w:val="right" w:pos="9072"/>
      </w:tabs>
    </w:pPr>
  </w:style>
  <w:style w:type="character" w:customStyle="1" w:styleId="StopkaZnak">
    <w:name w:val="Stopka Znak"/>
    <w:basedOn w:val="Domylnaczcionkaakapitu"/>
    <w:link w:val="Stopka"/>
    <w:uiPriority w:val="99"/>
    <w:rsid w:val="008D17BD"/>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F1306"/>
    <w:pPr>
      <w:ind w:left="720"/>
      <w:contextualSpacing/>
    </w:pPr>
  </w:style>
  <w:style w:type="paragraph" w:customStyle="1" w:styleId="Default">
    <w:name w:val="Default"/>
    <w:uiPriority w:val="99"/>
    <w:rsid w:val="00BF130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310DE-7478-4ED7-B3A5-61C40FFD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850</Words>
  <Characters>5102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Agata Drabik</cp:lastModifiedBy>
  <cp:revision>8</cp:revision>
  <cp:lastPrinted>2023-11-03T07:34:00Z</cp:lastPrinted>
  <dcterms:created xsi:type="dcterms:W3CDTF">2024-02-04T20:21:00Z</dcterms:created>
  <dcterms:modified xsi:type="dcterms:W3CDTF">2024-02-13T12:04:00Z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cd109857bd893aa5229ff7a528581289bcc9adf34ec20d76f2a2aba6464d5bbe</vt:lpwstr>
  </property>
</Properties>
</file>