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1B0B" w14:textId="77777777" w:rsidR="001716C2" w:rsidRPr="00C01F6A" w:rsidRDefault="001716C2" w:rsidP="001716C2">
      <w:pP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6543"/>
      </w:tblGrid>
      <w:tr w:rsidR="001716C2" w:rsidRPr="00F4617E" w14:paraId="570CEB4A" w14:textId="77777777" w:rsidTr="009072E1">
        <w:tc>
          <w:tcPr>
            <w:tcW w:w="3942" w:type="dxa"/>
            <w:shd w:val="clear" w:color="auto" w:fill="auto"/>
            <w:vAlign w:val="center"/>
          </w:tcPr>
          <w:p w14:paraId="0538017E" w14:textId="4F2BD2FB" w:rsidR="001716C2" w:rsidRPr="00F4617E" w:rsidRDefault="001716C2" w:rsidP="009072E1">
            <w:r w:rsidRPr="00F4617E">
              <w:t xml:space="preserve">Nazwa kierunku studiów </w:t>
            </w:r>
          </w:p>
        </w:tc>
        <w:tc>
          <w:tcPr>
            <w:tcW w:w="6543" w:type="dxa"/>
            <w:shd w:val="clear" w:color="auto" w:fill="auto"/>
          </w:tcPr>
          <w:p w14:paraId="509DF6AB" w14:textId="77777777" w:rsidR="001716C2" w:rsidRPr="00F4617E" w:rsidRDefault="001716C2" w:rsidP="009072E1">
            <w:r w:rsidRPr="00F4617E">
              <w:t xml:space="preserve">Pielęgnacja zwierząt i </w:t>
            </w:r>
            <w:proofErr w:type="spellStart"/>
            <w:r w:rsidRPr="00F4617E">
              <w:t>animaloterpia</w:t>
            </w:r>
            <w:proofErr w:type="spellEnd"/>
          </w:p>
        </w:tc>
      </w:tr>
      <w:tr w:rsidR="005A62A4" w:rsidRPr="00F4617E" w14:paraId="6CD077B7" w14:textId="77777777" w:rsidTr="009072E1">
        <w:tc>
          <w:tcPr>
            <w:tcW w:w="3942" w:type="dxa"/>
            <w:shd w:val="clear" w:color="auto" w:fill="auto"/>
            <w:vAlign w:val="center"/>
          </w:tcPr>
          <w:p w14:paraId="25AB68AD" w14:textId="77777777" w:rsidR="005A62A4" w:rsidRPr="00F4617E" w:rsidRDefault="005A62A4" w:rsidP="005A62A4">
            <w:r w:rsidRPr="00F4617E">
              <w:t>Nazwa modułu, także nazwa w języku angielskim</w:t>
            </w:r>
          </w:p>
        </w:tc>
        <w:tc>
          <w:tcPr>
            <w:tcW w:w="6543" w:type="dxa"/>
            <w:shd w:val="clear" w:color="auto" w:fill="auto"/>
          </w:tcPr>
          <w:p w14:paraId="3BDB72D0" w14:textId="77777777" w:rsidR="005A62A4" w:rsidRPr="00F4617E" w:rsidRDefault="005A62A4" w:rsidP="005A62A4">
            <w:pPr>
              <w:shd w:val="clear" w:color="auto" w:fill="FFFFFF"/>
            </w:pPr>
            <w:proofErr w:type="spellStart"/>
            <w:r w:rsidRPr="00F4617E">
              <w:rPr>
                <w:lang w:val="en-US"/>
              </w:rPr>
              <w:t>Gry</w:t>
            </w:r>
            <w:proofErr w:type="spellEnd"/>
            <w:r w:rsidRPr="00F4617E">
              <w:rPr>
                <w:lang w:val="en-US"/>
              </w:rPr>
              <w:t xml:space="preserve"> </w:t>
            </w:r>
            <w:proofErr w:type="spellStart"/>
            <w:r w:rsidRPr="00F4617E">
              <w:rPr>
                <w:lang w:val="en-US"/>
              </w:rPr>
              <w:t>i</w:t>
            </w:r>
            <w:proofErr w:type="spellEnd"/>
            <w:r w:rsidRPr="00F4617E">
              <w:rPr>
                <w:lang w:val="en-US"/>
              </w:rPr>
              <w:t xml:space="preserve"> </w:t>
            </w:r>
            <w:proofErr w:type="spellStart"/>
            <w:r w:rsidRPr="00F4617E">
              <w:rPr>
                <w:lang w:val="en-US"/>
              </w:rPr>
              <w:t>zabawy</w:t>
            </w:r>
            <w:proofErr w:type="spellEnd"/>
            <w:r w:rsidRPr="00F4617E">
              <w:rPr>
                <w:lang w:val="en-US"/>
              </w:rPr>
              <w:t xml:space="preserve"> </w:t>
            </w:r>
            <w:proofErr w:type="spellStart"/>
            <w:r w:rsidRPr="00F4617E">
              <w:rPr>
                <w:lang w:val="en-US"/>
              </w:rPr>
              <w:t>konne</w:t>
            </w:r>
            <w:proofErr w:type="spellEnd"/>
          </w:p>
        </w:tc>
      </w:tr>
      <w:tr w:rsidR="001716C2" w:rsidRPr="00F4617E" w14:paraId="614686FD" w14:textId="77777777" w:rsidTr="009072E1">
        <w:tc>
          <w:tcPr>
            <w:tcW w:w="3942" w:type="dxa"/>
            <w:shd w:val="clear" w:color="auto" w:fill="auto"/>
            <w:vAlign w:val="center"/>
          </w:tcPr>
          <w:p w14:paraId="148DA5BD" w14:textId="77777777" w:rsidR="001716C2" w:rsidRPr="00F4617E" w:rsidRDefault="001716C2" w:rsidP="009072E1">
            <w:r w:rsidRPr="00F4617E">
              <w:t xml:space="preserve">Język wykładowy </w:t>
            </w:r>
          </w:p>
        </w:tc>
        <w:tc>
          <w:tcPr>
            <w:tcW w:w="6543" w:type="dxa"/>
            <w:shd w:val="clear" w:color="auto" w:fill="auto"/>
          </w:tcPr>
          <w:p w14:paraId="191BF9B0" w14:textId="77777777" w:rsidR="001716C2" w:rsidRPr="00F4617E" w:rsidRDefault="001716C2" w:rsidP="009072E1">
            <w:r w:rsidRPr="00F4617E">
              <w:t>polski</w:t>
            </w:r>
          </w:p>
        </w:tc>
      </w:tr>
      <w:tr w:rsidR="005A62A4" w:rsidRPr="00F4617E" w14:paraId="7FD4C1D0" w14:textId="77777777" w:rsidTr="009072E1">
        <w:tc>
          <w:tcPr>
            <w:tcW w:w="3942" w:type="dxa"/>
            <w:shd w:val="clear" w:color="auto" w:fill="auto"/>
            <w:vAlign w:val="center"/>
          </w:tcPr>
          <w:p w14:paraId="69B57EA2" w14:textId="77777777" w:rsidR="005A62A4" w:rsidRPr="00F4617E" w:rsidRDefault="005A62A4" w:rsidP="005A62A4">
            <w:pPr>
              <w:autoSpaceDE w:val="0"/>
              <w:autoSpaceDN w:val="0"/>
              <w:adjustRightInd w:val="0"/>
            </w:pPr>
            <w:r w:rsidRPr="00F4617E">
              <w:t xml:space="preserve">Rodzaj modułu </w:t>
            </w:r>
          </w:p>
        </w:tc>
        <w:tc>
          <w:tcPr>
            <w:tcW w:w="6543" w:type="dxa"/>
            <w:shd w:val="clear" w:color="auto" w:fill="auto"/>
          </w:tcPr>
          <w:p w14:paraId="72C80E2D" w14:textId="77777777" w:rsidR="005A62A4" w:rsidRPr="00F4617E" w:rsidRDefault="005A62A4" w:rsidP="005A62A4">
            <w:r w:rsidRPr="00F4617E">
              <w:rPr>
                <w:iCs/>
              </w:rPr>
              <w:t>fakultatywny</w:t>
            </w:r>
          </w:p>
        </w:tc>
      </w:tr>
      <w:tr w:rsidR="005A62A4" w:rsidRPr="00F4617E" w14:paraId="1D5D816D" w14:textId="77777777" w:rsidTr="009072E1">
        <w:tc>
          <w:tcPr>
            <w:tcW w:w="3942" w:type="dxa"/>
            <w:shd w:val="clear" w:color="auto" w:fill="auto"/>
            <w:vAlign w:val="center"/>
          </w:tcPr>
          <w:p w14:paraId="201C574E" w14:textId="77777777" w:rsidR="005A62A4" w:rsidRPr="00F4617E" w:rsidRDefault="005A62A4" w:rsidP="005A62A4">
            <w:r w:rsidRPr="00F4617E">
              <w:t>Poziom studiów</w:t>
            </w:r>
          </w:p>
        </w:tc>
        <w:tc>
          <w:tcPr>
            <w:tcW w:w="6543" w:type="dxa"/>
            <w:shd w:val="clear" w:color="auto" w:fill="auto"/>
          </w:tcPr>
          <w:p w14:paraId="7A4DFFDC" w14:textId="77777777" w:rsidR="005A62A4" w:rsidRPr="00F4617E" w:rsidRDefault="005A62A4" w:rsidP="005A62A4">
            <w:r w:rsidRPr="00F4617E">
              <w:t>pierwszego stopnia</w:t>
            </w:r>
          </w:p>
        </w:tc>
      </w:tr>
      <w:tr w:rsidR="005A62A4" w:rsidRPr="00F4617E" w14:paraId="7A52CDAC" w14:textId="77777777" w:rsidTr="009072E1">
        <w:tc>
          <w:tcPr>
            <w:tcW w:w="3942" w:type="dxa"/>
            <w:shd w:val="clear" w:color="auto" w:fill="auto"/>
            <w:vAlign w:val="center"/>
          </w:tcPr>
          <w:p w14:paraId="273AF8A8" w14:textId="77777777" w:rsidR="005A62A4" w:rsidRPr="00F4617E" w:rsidRDefault="005A62A4" w:rsidP="005A62A4">
            <w:r w:rsidRPr="00F4617E">
              <w:t>Forma studiów</w:t>
            </w:r>
          </w:p>
        </w:tc>
        <w:tc>
          <w:tcPr>
            <w:tcW w:w="6543" w:type="dxa"/>
            <w:shd w:val="clear" w:color="auto" w:fill="auto"/>
          </w:tcPr>
          <w:p w14:paraId="1C621881" w14:textId="77777777" w:rsidR="005A62A4" w:rsidRPr="00F4617E" w:rsidRDefault="005A62A4" w:rsidP="005A62A4">
            <w:r w:rsidRPr="00F4617E">
              <w:t>stacjonarne</w:t>
            </w:r>
          </w:p>
        </w:tc>
      </w:tr>
      <w:tr w:rsidR="005A62A4" w:rsidRPr="00F4617E" w14:paraId="46D3B964" w14:textId="77777777" w:rsidTr="009072E1">
        <w:tc>
          <w:tcPr>
            <w:tcW w:w="3942" w:type="dxa"/>
            <w:shd w:val="clear" w:color="auto" w:fill="auto"/>
            <w:vAlign w:val="center"/>
          </w:tcPr>
          <w:p w14:paraId="55A94442" w14:textId="77777777" w:rsidR="005A62A4" w:rsidRPr="00F4617E" w:rsidRDefault="005A62A4" w:rsidP="005A62A4">
            <w:r w:rsidRPr="00F4617E">
              <w:t>Rok studiów dla kierunku</w:t>
            </w:r>
          </w:p>
        </w:tc>
        <w:tc>
          <w:tcPr>
            <w:tcW w:w="6543" w:type="dxa"/>
            <w:shd w:val="clear" w:color="auto" w:fill="auto"/>
          </w:tcPr>
          <w:p w14:paraId="59AC6CB8" w14:textId="77777777" w:rsidR="005A62A4" w:rsidRPr="00F4617E" w:rsidRDefault="005A62A4" w:rsidP="005A62A4">
            <w:r w:rsidRPr="00F4617E">
              <w:t>III</w:t>
            </w:r>
          </w:p>
        </w:tc>
      </w:tr>
      <w:tr w:rsidR="005A62A4" w:rsidRPr="00F4617E" w14:paraId="2FCF1C3D" w14:textId="77777777" w:rsidTr="009072E1">
        <w:tc>
          <w:tcPr>
            <w:tcW w:w="3942" w:type="dxa"/>
            <w:shd w:val="clear" w:color="auto" w:fill="auto"/>
            <w:vAlign w:val="center"/>
          </w:tcPr>
          <w:p w14:paraId="437C1668" w14:textId="77777777" w:rsidR="005A62A4" w:rsidRPr="00F4617E" w:rsidRDefault="005A62A4" w:rsidP="005A62A4">
            <w:r w:rsidRPr="00F4617E">
              <w:t>Semestr dla kierunku</w:t>
            </w:r>
          </w:p>
        </w:tc>
        <w:tc>
          <w:tcPr>
            <w:tcW w:w="6543" w:type="dxa"/>
            <w:shd w:val="clear" w:color="auto" w:fill="auto"/>
          </w:tcPr>
          <w:p w14:paraId="0A746EE6" w14:textId="2275C0AC" w:rsidR="005A62A4" w:rsidRPr="00F4617E" w:rsidRDefault="0025289D" w:rsidP="005A62A4">
            <w:r>
              <w:t>5</w:t>
            </w:r>
          </w:p>
        </w:tc>
      </w:tr>
      <w:tr w:rsidR="005A62A4" w:rsidRPr="00F4617E" w14:paraId="5D8B13C7" w14:textId="77777777" w:rsidTr="009072E1">
        <w:tc>
          <w:tcPr>
            <w:tcW w:w="3942" w:type="dxa"/>
            <w:shd w:val="clear" w:color="auto" w:fill="auto"/>
            <w:vAlign w:val="center"/>
          </w:tcPr>
          <w:p w14:paraId="377B09DB" w14:textId="77777777" w:rsidR="005A62A4" w:rsidRPr="00F4617E" w:rsidRDefault="005A62A4" w:rsidP="005A62A4">
            <w:pPr>
              <w:autoSpaceDE w:val="0"/>
              <w:autoSpaceDN w:val="0"/>
              <w:adjustRightInd w:val="0"/>
            </w:pPr>
            <w:r w:rsidRPr="00F4617E">
              <w:t>Liczba punktów ECTS z podziałem na kontaktowe/</w:t>
            </w:r>
            <w:proofErr w:type="spellStart"/>
            <w:r w:rsidRPr="00F4617E">
              <w:t>niekontaktowe</w:t>
            </w:r>
            <w:proofErr w:type="spellEnd"/>
          </w:p>
        </w:tc>
        <w:tc>
          <w:tcPr>
            <w:tcW w:w="6543" w:type="dxa"/>
            <w:shd w:val="clear" w:color="auto" w:fill="auto"/>
          </w:tcPr>
          <w:p w14:paraId="0635EB28" w14:textId="49D18956" w:rsidR="005A62A4" w:rsidRPr="00F4617E" w:rsidRDefault="00F4617E" w:rsidP="005A62A4">
            <w:r w:rsidRPr="00B50FC7">
              <w:t>2 (1,</w:t>
            </w:r>
            <w:r>
              <w:t>32</w:t>
            </w:r>
            <w:r w:rsidRPr="00B50FC7">
              <w:t>/0,6</w:t>
            </w:r>
            <w:r>
              <w:t>8</w:t>
            </w:r>
            <w:r w:rsidRPr="00B50FC7">
              <w:t>)</w:t>
            </w:r>
          </w:p>
        </w:tc>
      </w:tr>
      <w:tr w:rsidR="005A62A4" w:rsidRPr="00F4617E" w14:paraId="65DBB824" w14:textId="77777777" w:rsidTr="009072E1">
        <w:tc>
          <w:tcPr>
            <w:tcW w:w="3942" w:type="dxa"/>
            <w:shd w:val="clear" w:color="auto" w:fill="auto"/>
            <w:vAlign w:val="center"/>
          </w:tcPr>
          <w:p w14:paraId="3B82A69D" w14:textId="77777777" w:rsidR="005A62A4" w:rsidRPr="00F4617E" w:rsidRDefault="005A62A4" w:rsidP="005A62A4">
            <w:pPr>
              <w:autoSpaceDE w:val="0"/>
              <w:autoSpaceDN w:val="0"/>
              <w:adjustRightInd w:val="0"/>
            </w:pPr>
            <w:r w:rsidRPr="00F4617E">
              <w:t>Tytuł naukowy/stopień naukowy, imię i nazwisko osoby odpowiedzialnej za moduł</w:t>
            </w:r>
          </w:p>
        </w:tc>
        <w:tc>
          <w:tcPr>
            <w:tcW w:w="6543" w:type="dxa"/>
            <w:shd w:val="clear" w:color="auto" w:fill="auto"/>
          </w:tcPr>
          <w:p w14:paraId="1E3EAF67" w14:textId="77777777" w:rsidR="005A62A4" w:rsidRPr="00F4617E" w:rsidRDefault="005A62A4" w:rsidP="005A62A4">
            <w:r w:rsidRPr="00F4617E">
              <w:t xml:space="preserve">Dr </w:t>
            </w:r>
            <w:r w:rsidR="00820DD3" w:rsidRPr="00F4617E">
              <w:t>hab</w:t>
            </w:r>
            <w:r w:rsidRPr="00F4617E">
              <w:t>. Izabela Wilk, prof. uczelni</w:t>
            </w:r>
          </w:p>
        </w:tc>
      </w:tr>
      <w:tr w:rsidR="005A62A4" w:rsidRPr="00F4617E" w14:paraId="1CDC2EBA" w14:textId="77777777" w:rsidTr="001F3AD1">
        <w:tc>
          <w:tcPr>
            <w:tcW w:w="3942" w:type="dxa"/>
            <w:shd w:val="clear" w:color="auto" w:fill="auto"/>
            <w:vAlign w:val="center"/>
          </w:tcPr>
          <w:p w14:paraId="39341FFC" w14:textId="77777777" w:rsidR="005A62A4" w:rsidRPr="00F4617E" w:rsidRDefault="005A62A4" w:rsidP="005A62A4">
            <w:r w:rsidRPr="00F4617E">
              <w:t>Jednostka oferująca moduł</w:t>
            </w:r>
          </w:p>
          <w:p w14:paraId="1FBBD766" w14:textId="77777777" w:rsidR="005A62A4" w:rsidRPr="00F4617E" w:rsidRDefault="005A62A4" w:rsidP="005A62A4"/>
        </w:tc>
        <w:tc>
          <w:tcPr>
            <w:tcW w:w="6543" w:type="dxa"/>
            <w:shd w:val="clear" w:color="auto" w:fill="auto"/>
          </w:tcPr>
          <w:p w14:paraId="04431729" w14:textId="77777777" w:rsidR="005A62A4" w:rsidRPr="00F4617E" w:rsidRDefault="005A62A4" w:rsidP="005A62A4">
            <w:r w:rsidRPr="00F4617E">
              <w:t>Katedra Hodowli i Użytkowania Koni</w:t>
            </w:r>
          </w:p>
        </w:tc>
      </w:tr>
      <w:tr w:rsidR="005A62A4" w:rsidRPr="00F4617E" w14:paraId="31314F61" w14:textId="77777777" w:rsidTr="00801656">
        <w:tc>
          <w:tcPr>
            <w:tcW w:w="3942" w:type="dxa"/>
            <w:shd w:val="clear" w:color="auto" w:fill="auto"/>
            <w:vAlign w:val="center"/>
          </w:tcPr>
          <w:p w14:paraId="45F95D34" w14:textId="77777777" w:rsidR="005A62A4" w:rsidRPr="00F4617E" w:rsidRDefault="005A62A4" w:rsidP="005A62A4">
            <w:r w:rsidRPr="00F4617E">
              <w:t>Cel modułu</w:t>
            </w:r>
          </w:p>
          <w:p w14:paraId="0A79603F" w14:textId="77777777" w:rsidR="005A62A4" w:rsidRPr="00F4617E" w:rsidRDefault="005A62A4" w:rsidP="005A62A4"/>
        </w:tc>
        <w:tc>
          <w:tcPr>
            <w:tcW w:w="6543" w:type="dxa"/>
            <w:shd w:val="clear" w:color="auto" w:fill="auto"/>
          </w:tcPr>
          <w:p w14:paraId="6D6E07E2" w14:textId="77777777" w:rsidR="005A62A4" w:rsidRPr="00F4617E" w:rsidRDefault="005A62A4" w:rsidP="005A62A4">
            <w:r w:rsidRPr="00F4617E">
              <w:t>Zdobycie przez studentów wiedzy i umiejętności związanych z organizacją gier i zabaw konnych.</w:t>
            </w:r>
          </w:p>
        </w:tc>
      </w:tr>
      <w:tr w:rsidR="005A62A4" w:rsidRPr="00F4617E" w14:paraId="52D53DDB" w14:textId="77777777" w:rsidTr="009072E1">
        <w:trPr>
          <w:trHeight w:val="236"/>
        </w:trPr>
        <w:tc>
          <w:tcPr>
            <w:tcW w:w="3942" w:type="dxa"/>
            <w:vMerge w:val="restart"/>
            <w:shd w:val="clear" w:color="auto" w:fill="auto"/>
            <w:vAlign w:val="center"/>
          </w:tcPr>
          <w:p w14:paraId="4BBF13D4" w14:textId="77777777" w:rsidR="005A62A4" w:rsidRPr="00F4617E" w:rsidRDefault="005A62A4" w:rsidP="005A62A4">
            <w:pPr>
              <w:jc w:val="both"/>
            </w:pPr>
            <w:r w:rsidRPr="00F4617E">
              <w:t>Efekty uczenia się dla modułu to opis zasobu wiedzy, umiejętności i kompetencji społecznych, które student osiągnie po zrealizowaniu zajęć.</w:t>
            </w:r>
          </w:p>
        </w:tc>
        <w:tc>
          <w:tcPr>
            <w:tcW w:w="6543" w:type="dxa"/>
            <w:shd w:val="clear" w:color="auto" w:fill="auto"/>
            <w:vAlign w:val="center"/>
          </w:tcPr>
          <w:p w14:paraId="7C6892D0" w14:textId="77777777" w:rsidR="005A62A4" w:rsidRPr="00F4617E" w:rsidRDefault="005A62A4" w:rsidP="005A62A4">
            <w:r w:rsidRPr="00F4617E">
              <w:rPr>
                <w:b/>
                <w:bCs/>
              </w:rPr>
              <w:t>Wiedza</w:t>
            </w:r>
            <w:r w:rsidRPr="00F4617E">
              <w:t xml:space="preserve">: </w:t>
            </w:r>
          </w:p>
        </w:tc>
      </w:tr>
      <w:tr w:rsidR="005A62A4" w:rsidRPr="00F4617E" w14:paraId="595CA837" w14:textId="77777777" w:rsidTr="009072E1">
        <w:trPr>
          <w:trHeight w:val="236"/>
        </w:trPr>
        <w:tc>
          <w:tcPr>
            <w:tcW w:w="3942" w:type="dxa"/>
            <w:vMerge/>
            <w:shd w:val="clear" w:color="auto" w:fill="auto"/>
            <w:vAlign w:val="center"/>
          </w:tcPr>
          <w:p w14:paraId="59B2E3FB" w14:textId="77777777" w:rsidR="005A62A4" w:rsidRPr="00F4617E" w:rsidRDefault="005A62A4" w:rsidP="005A62A4">
            <w:pPr>
              <w:jc w:val="both"/>
            </w:pPr>
          </w:p>
        </w:tc>
        <w:tc>
          <w:tcPr>
            <w:tcW w:w="6543" w:type="dxa"/>
            <w:shd w:val="clear" w:color="auto" w:fill="auto"/>
            <w:vAlign w:val="center"/>
          </w:tcPr>
          <w:p w14:paraId="3EE103D4" w14:textId="77777777" w:rsidR="005A62A4" w:rsidRPr="00F4617E" w:rsidRDefault="005A62A4" w:rsidP="005A62A4">
            <w:r w:rsidRPr="00F4617E">
              <w:rPr>
                <w:rStyle w:val="hps"/>
              </w:rPr>
              <w:t xml:space="preserve">W1. </w:t>
            </w:r>
            <w:r w:rsidRPr="00F4617E">
              <w:t>Rozumie możliwości wielokierunkowego oddziaływania na sprawność fizyczną i zdrowie człowieka poprzez kontakt z końmi oraz mechanizmy interakcji zachodzące między koniem a jeźdźcem</w:t>
            </w:r>
          </w:p>
        </w:tc>
      </w:tr>
      <w:tr w:rsidR="005A62A4" w:rsidRPr="00F4617E" w14:paraId="524FDBF9" w14:textId="77777777" w:rsidTr="009072E1">
        <w:trPr>
          <w:trHeight w:val="233"/>
        </w:trPr>
        <w:tc>
          <w:tcPr>
            <w:tcW w:w="3942" w:type="dxa"/>
            <w:vMerge/>
            <w:shd w:val="clear" w:color="auto" w:fill="auto"/>
            <w:vAlign w:val="center"/>
          </w:tcPr>
          <w:p w14:paraId="52AE3BC4" w14:textId="77777777" w:rsidR="005A62A4" w:rsidRPr="00F4617E" w:rsidRDefault="005A62A4" w:rsidP="005A62A4">
            <w:pPr>
              <w:rPr>
                <w:highlight w:val="yellow"/>
              </w:rPr>
            </w:pPr>
          </w:p>
        </w:tc>
        <w:tc>
          <w:tcPr>
            <w:tcW w:w="6543" w:type="dxa"/>
            <w:shd w:val="clear" w:color="auto" w:fill="auto"/>
            <w:vAlign w:val="center"/>
          </w:tcPr>
          <w:p w14:paraId="0137BCBA" w14:textId="77777777" w:rsidR="005A62A4" w:rsidRPr="00F4617E" w:rsidRDefault="005A62A4" w:rsidP="005A62A4">
            <w:r w:rsidRPr="00F4617E">
              <w:rPr>
                <w:b/>
                <w:bCs/>
              </w:rPr>
              <w:t>Umiejętności</w:t>
            </w:r>
            <w:r w:rsidRPr="00F4617E">
              <w:t>:</w:t>
            </w:r>
          </w:p>
        </w:tc>
      </w:tr>
      <w:tr w:rsidR="005A62A4" w:rsidRPr="00F4617E" w14:paraId="3960EABC" w14:textId="77777777" w:rsidTr="009072E1">
        <w:trPr>
          <w:trHeight w:val="233"/>
        </w:trPr>
        <w:tc>
          <w:tcPr>
            <w:tcW w:w="3942" w:type="dxa"/>
            <w:vMerge/>
            <w:shd w:val="clear" w:color="auto" w:fill="auto"/>
            <w:vAlign w:val="center"/>
          </w:tcPr>
          <w:p w14:paraId="5CB6C655" w14:textId="77777777" w:rsidR="005A62A4" w:rsidRPr="00F4617E" w:rsidRDefault="005A62A4" w:rsidP="005A62A4">
            <w:pPr>
              <w:rPr>
                <w:highlight w:val="yellow"/>
              </w:rPr>
            </w:pPr>
          </w:p>
        </w:tc>
        <w:tc>
          <w:tcPr>
            <w:tcW w:w="6543" w:type="dxa"/>
            <w:shd w:val="clear" w:color="auto" w:fill="auto"/>
            <w:vAlign w:val="center"/>
          </w:tcPr>
          <w:p w14:paraId="6AE39F3E" w14:textId="77777777" w:rsidR="005A62A4" w:rsidRPr="00F4617E" w:rsidRDefault="005A62A4" w:rsidP="005A62A4">
            <w:r w:rsidRPr="00F4617E">
              <w:t xml:space="preserve">U1.  Potrafi dobrać odpowiednie konie, sprzęt i formę zajęć w zależności od sprawności </w:t>
            </w:r>
            <w:proofErr w:type="spellStart"/>
            <w:r w:rsidRPr="00F4617E">
              <w:t>psycho</w:t>
            </w:r>
            <w:proofErr w:type="spellEnd"/>
            <w:r w:rsidRPr="00F4617E">
              <w:t>-fizycznej uczestników, zachowując warunki dobrostanu koni</w:t>
            </w:r>
          </w:p>
        </w:tc>
      </w:tr>
      <w:tr w:rsidR="005A62A4" w:rsidRPr="00F4617E" w14:paraId="4BE3818A" w14:textId="77777777" w:rsidTr="009072E1">
        <w:trPr>
          <w:trHeight w:val="233"/>
        </w:trPr>
        <w:tc>
          <w:tcPr>
            <w:tcW w:w="3942" w:type="dxa"/>
            <w:vMerge/>
            <w:shd w:val="clear" w:color="auto" w:fill="auto"/>
            <w:vAlign w:val="center"/>
          </w:tcPr>
          <w:p w14:paraId="561A06A3" w14:textId="77777777" w:rsidR="005A62A4" w:rsidRPr="00F4617E" w:rsidRDefault="005A62A4" w:rsidP="005A62A4">
            <w:pPr>
              <w:rPr>
                <w:highlight w:val="yellow"/>
              </w:rPr>
            </w:pPr>
          </w:p>
        </w:tc>
        <w:tc>
          <w:tcPr>
            <w:tcW w:w="6543" w:type="dxa"/>
            <w:shd w:val="clear" w:color="auto" w:fill="auto"/>
            <w:vAlign w:val="center"/>
          </w:tcPr>
          <w:p w14:paraId="3F7D7AF9" w14:textId="77777777" w:rsidR="005A62A4" w:rsidRPr="00F4617E" w:rsidRDefault="005A62A4" w:rsidP="005A62A4">
            <w:pPr>
              <w:rPr>
                <w:b/>
                <w:bCs/>
              </w:rPr>
            </w:pPr>
            <w:r w:rsidRPr="00F4617E">
              <w:rPr>
                <w:b/>
                <w:bCs/>
              </w:rPr>
              <w:t>Kompetencje społeczne:</w:t>
            </w:r>
          </w:p>
        </w:tc>
      </w:tr>
      <w:tr w:rsidR="005A62A4" w:rsidRPr="00F4617E" w14:paraId="743BF75A" w14:textId="77777777" w:rsidTr="009072E1">
        <w:trPr>
          <w:trHeight w:val="233"/>
        </w:trPr>
        <w:tc>
          <w:tcPr>
            <w:tcW w:w="3942" w:type="dxa"/>
            <w:vMerge/>
            <w:shd w:val="clear" w:color="auto" w:fill="auto"/>
            <w:vAlign w:val="center"/>
          </w:tcPr>
          <w:p w14:paraId="71ED783A" w14:textId="77777777" w:rsidR="005A62A4" w:rsidRPr="00F4617E" w:rsidRDefault="005A62A4" w:rsidP="005A62A4">
            <w:pPr>
              <w:rPr>
                <w:highlight w:val="yellow"/>
              </w:rPr>
            </w:pPr>
          </w:p>
        </w:tc>
        <w:tc>
          <w:tcPr>
            <w:tcW w:w="6543" w:type="dxa"/>
            <w:shd w:val="clear" w:color="auto" w:fill="auto"/>
            <w:vAlign w:val="center"/>
          </w:tcPr>
          <w:p w14:paraId="3E2A34E4" w14:textId="739AB62A" w:rsidR="005A62A4" w:rsidRPr="00F4617E" w:rsidRDefault="005A62A4" w:rsidP="005A62A4">
            <w:r w:rsidRPr="00F4617E">
              <w:rPr>
                <w:rStyle w:val="hps"/>
              </w:rPr>
              <w:t>K1.</w:t>
            </w:r>
            <w:r w:rsidRPr="00F4617E">
              <w:t xml:space="preserve"> </w:t>
            </w:r>
            <w:r w:rsidR="00F4617E">
              <w:t>J</w:t>
            </w:r>
            <w:r w:rsidRPr="00F4617E">
              <w:t>est świadom ryzyka i społecznej, zawodowej oraz etycznej odpowiedzialności za humanitarne użytkowanie koni a także za bezpieczeństwo i zdrowie jeźdźców</w:t>
            </w:r>
          </w:p>
        </w:tc>
      </w:tr>
      <w:tr w:rsidR="005A62A4" w:rsidRPr="00F4617E" w14:paraId="3882866D" w14:textId="77777777" w:rsidTr="009072E1">
        <w:trPr>
          <w:trHeight w:val="233"/>
        </w:trPr>
        <w:tc>
          <w:tcPr>
            <w:tcW w:w="3942" w:type="dxa"/>
            <w:vMerge/>
            <w:shd w:val="clear" w:color="auto" w:fill="auto"/>
            <w:vAlign w:val="center"/>
          </w:tcPr>
          <w:p w14:paraId="3B8D2072" w14:textId="77777777" w:rsidR="005A62A4" w:rsidRPr="00F4617E" w:rsidRDefault="005A62A4" w:rsidP="005A62A4">
            <w:pPr>
              <w:rPr>
                <w:highlight w:val="yellow"/>
              </w:rPr>
            </w:pPr>
          </w:p>
        </w:tc>
        <w:tc>
          <w:tcPr>
            <w:tcW w:w="6543" w:type="dxa"/>
            <w:shd w:val="clear" w:color="auto" w:fill="auto"/>
            <w:vAlign w:val="center"/>
          </w:tcPr>
          <w:p w14:paraId="30228CDB" w14:textId="131CDC95" w:rsidR="005A62A4" w:rsidRPr="00F4617E" w:rsidRDefault="005A62A4" w:rsidP="005A62A4">
            <w:pPr>
              <w:rPr>
                <w:rStyle w:val="hps"/>
              </w:rPr>
            </w:pPr>
            <w:r w:rsidRPr="00F4617E">
              <w:rPr>
                <w:rStyle w:val="hps"/>
              </w:rPr>
              <w:t>K2.</w:t>
            </w:r>
            <w:r w:rsidRPr="00F4617E">
              <w:t xml:space="preserve"> </w:t>
            </w:r>
            <w:r w:rsidR="00F4617E">
              <w:t>R</w:t>
            </w:r>
            <w:r w:rsidRPr="00F4617E">
              <w:t>ozumie potrzebę ciągłego uzupełniania swojej wiedzy oraz doskonalenia standardów utrzymania i użytkowania koni</w:t>
            </w:r>
          </w:p>
        </w:tc>
      </w:tr>
      <w:tr w:rsidR="00422138" w:rsidRPr="00F4617E" w14:paraId="4640CB0E" w14:textId="77777777" w:rsidTr="00200A28">
        <w:trPr>
          <w:trHeight w:val="718"/>
        </w:trPr>
        <w:tc>
          <w:tcPr>
            <w:tcW w:w="3942" w:type="dxa"/>
            <w:shd w:val="clear" w:color="auto" w:fill="auto"/>
            <w:vAlign w:val="center"/>
          </w:tcPr>
          <w:p w14:paraId="266A7455" w14:textId="77777777" w:rsidR="00422138" w:rsidRPr="00F4617E" w:rsidRDefault="00422138" w:rsidP="00200A28">
            <w:pPr>
              <w:jc w:val="both"/>
            </w:pPr>
            <w:r w:rsidRPr="00F4617E">
              <w:t>Odniesienie modułowych efektów uczenia się do kierunkowych efektów uczenia się</w:t>
            </w:r>
          </w:p>
        </w:tc>
        <w:tc>
          <w:tcPr>
            <w:tcW w:w="6543" w:type="dxa"/>
            <w:shd w:val="clear" w:color="auto" w:fill="auto"/>
            <w:vAlign w:val="center"/>
          </w:tcPr>
          <w:p w14:paraId="5CFD9E79" w14:textId="3CAC5C90" w:rsidR="00422138" w:rsidRPr="00B50FC7" w:rsidRDefault="00422138" w:rsidP="00200A28">
            <w:pPr>
              <w:rPr>
                <w:spacing w:val="6"/>
              </w:rPr>
            </w:pPr>
            <w:r>
              <w:rPr>
                <w:spacing w:val="6"/>
              </w:rPr>
              <w:t xml:space="preserve">W1 - </w:t>
            </w:r>
            <w:r w:rsidRPr="00B50FC7">
              <w:rPr>
                <w:spacing w:val="6"/>
              </w:rPr>
              <w:t xml:space="preserve">PZA_W06 </w:t>
            </w:r>
          </w:p>
          <w:p w14:paraId="08B55E47" w14:textId="7894CC43" w:rsidR="00422138" w:rsidRPr="00B50FC7" w:rsidRDefault="00422138" w:rsidP="00200A28">
            <w:pPr>
              <w:rPr>
                <w:spacing w:val="6"/>
              </w:rPr>
            </w:pPr>
            <w:r w:rsidRPr="00B50FC7">
              <w:rPr>
                <w:spacing w:val="6"/>
              </w:rPr>
              <w:t>P</w:t>
            </w:r>
            <w:r>
              <w:rPr>
                <w:spacing w:val="6"/>
              </w:rPr>
              <w:t xml:space="preserve">U1 - </w:t>
            </w:r>
            <w:r w:rsidRPr="00B50FC7">
              <w:rPr>
                <w:spacing w:val="6"/>
              </w:rPr>
              <w:t>ZA_U06</w:t>
            </w:r>
          </w:p>
          <w:p w14:paraId="30EE86DC" w14:textId="154227BC" w:rsidR="00422138" w:rsidRPr="00B50FC7" w:rsidRDefault="00422138" w:rsidP="00200A28">
            <w:r>
              <w:rPr>
                <w:spacing w:val="6"/>
              </w:rPr>
              <w:t xml:space="preserve">K2 - </w:t>
            </w:r>
            <w:r w:rsidRPr="00B50FC7">
              <w:rPr>
                <w:spacing w:val="6"/>
              </w:rPr>
              <w:t>PZA_K01</w:t>
            </w:r>
          </w:p>
          <w:p w14:paraId="49B8812F" w14:textId="5D4EF039" w:rsidR="00422138" w:rsidRPr="00F4617E" w:rsidRDefault="00422138" w:rsidP="00200A28">
            <w:pPr>
              <w:jc w:val="both"/>
            </w:pPr>
            <w:r>
              <w:rPr>
                <w:spacing w:val="6"/>
              </w:rPr>
              <w:t xml:space="preserve">K1 - </w:t>
            </w:r>
            <w:r w:rsidRPr="00B50FC7">
              <w:rPr>
                <w:spacing w:val="6"/>
              </w:rPr>
              <w:t>PZA_K02</w:t>
            </w:r>
          </w:p>
        </w:tc>
      </w:tr>
      <w:tr w:rsidR="00422138" w:rsidRPr="00F4617E" w14:paraId="2D7F353A" w14:textId="77777777" w:rsidTr="00200A28">
        <w:trPr>
          <w:trHeight w:val="718"/>
        </w:trPr>
        <w:tc>
          <w:tcPr>
            <w:tcW w:w="3942" w:type="dxa"/>
            <w:shd w:val="clear" w:color="auto" w:fill="auto"/>
            <w:vAlign w:val="center"/>
          </w:tcPr>
          <w:p w14:paraId="3EBAAFE7" w14:textId="57067A67" w:rsidR="00422138" w:rsidRPr="00F4617E" w:rsidRDefault="00422138" w:rsidP="00422138">
            <w:r w:rsidRPr="008067AA">
              <w:t>Odniesienie modułowych efektów uczenia się do efektów inżynierskich</w:t>
            </w:r>
            <w:bookmarkStart w:id="0" w:name="_GoBack"/>
            <w:bookmarkEnd w:id="0"/>
          </w:p>
        </w:tc>
        <w:tc>
          <w:tcPr>
            <w:tcW w:w="6543" w:type="dxa"/>
            <w:shd w:val="clear" w:color="auto" w:fill="auto"/>
            <w:vAlign w:val="center"/>
          </w:tcPr>
          <w:p w14:paraId="1AFB0644" w14:textId="77777777" w:rsidR="00422138" w:rsidRDefault="00422138" w:rsidP="00200A28">
            <w:pPr>
              <w:jc w:val="both"/>
              <w:rPr>
                <w:spacing w:val="-4"/>
              </w:rPr>
            </w:pPr>
            <w:r>
              <w:rPr>
                <w:spacing w:val="-4"/>
              </w:rPr>
              <w:t>InzP_W01</w:t>
            </w:r>
          </w:p>
          <w:p w14:paraId="2B2C0DE9" w14:textId="77777777" w:rsidR="00422138" w:rsidRDefault="00422138" w:rsidP="00200A28">
            <w:pPr>
              <w:jc w:val="both"/>
              <w:rPr>
                <w:spacing w:val="-4"/>
              </w:rPr>
            </w:pPr>
            <w:r>
              <w:rPr>
                <w:spacing w:val="-4"/>
              </w:rPr>
              <w:t>InzP_U03</w:t>
            </w:r>
          </w:p>
          <w:p w14:paraId="541E67C1" w14:textId="77777777" w:rsidR="00422138" w:rsidRPr="00B50FC7" w:rsidRDefault="00422138" w:rsidP="00200A28">
            <w:pPr>
              <w:rPr>
                <w:spacing w:val="6"/>
              </w:rPr>
            </w:pPr>
            <w:r>
              <w:rPr>
                <w:spacing w:val="-4"/>
              </w:rPr>
              <w:t>InzP_U05</w:t>
            </w:r>
          </w:p>
        </w:tc>
      </w:tr>
      <w:tr w:rsidR="005A62A4" w:rsidRPr="00F4617E" w14:paraId="20B37DF6" w14:textId="77777777" w:rsidTr="009072E1">
        <w:tc>
          <w:tcPr>
            <w:tcW w:w="3942" w:type="dxa"/>
            <w:shd w:val="clear" w:color="auto" w:fill="auto"/>
            <w:vAlign w:val="center"/>
          </w:tcPr>
          <w:p w14:paraId="026BC769" w14:textId="77777777" w:rsidR="005A62A4" w:rsidRPr="00F4617E" w:rsidRDefault="005A62A4" w:rsidP="005A62A4">
            <w:r w:rsidRPr="00F4617E">
              <w:t xml:space="preserve">Wymagania wstępne i dodatkowe </w:t>
            </w:r>
          </w:p>
        </w:tc>
        <w:tc>
          <w:tcPr>
            <w:tcW w:w="6543" w:type="dxa"/>
            <w:shd w:val="clear" w:color="auto" w:fill="auto"/>
            <w:vAlign w:val="center"/>
          </w:tcPr>
          <w:p w14:paraId="7BCDC961" w14:textId="77777777" w:rsidR="005A62A4" w:rsidRPr="00F4617E" w:rsidRDefault="00C01F6A" w:rsidP="005A62A4">
            <w:pPr>
              <w:jc w:val="both"/>
            </w:pPr>
            <w:r w:rsidRPr="00F4617E">
              <w:t>Zaliczenie modułów dotyczących biologii zwierząt gospodarskich</w:t>
            </w:r>
          </w:p>
        </w:tc>
      </w:tr>
      <w:tr w:rsidR="005A62A4" w:rsidRPr="00F4617E" w14:paraId="72262905" w14:textId="77777777" w:rsidTr="009072E1">
        <w:tc>
          <w:tcPr>
            <w:tcW w:w="3942" w:type="dxa"/>
            <w:shd w:val="clear" w:color="auto" w:fill="auto"/>
            <w:vAlign w:val="center"/>
          </w:tcPr>
          <w:p w14:paraId="20F40A2E" w14:textId="77777777" w:rsidR="005A62A4" w:rsidRPr="00F4617E" w:rsidRDefault="005A62A4" w:rsidP="005A62A4">
            <w:r w:rsidRPr="00F4617E">
              <w:t xml:space="preserve">Treści programowe modułu </w:t>
            </w:r>
          </w:p>
          <w:p w14:paraId="4D3748F2" w14:textId="77777777" w:rsidR="005A62A4" w:rsidRPr="00F4617E" w:rsidRDefault="005A62A4" w:rsidP="005A62A4"/>
        </w:tc>
        <w:tc>
          <w:tcPr>
            <w:tcW w:w="6543" w:type="dxa"/>
            <w:shd w:val="clear" w:color="auto" w:fill="auto"/>
            <w:vAlign w:val="center"/>
          </w:tcPr>
          <w:p w14:paraId="5CF65BA1" w14:textId="77777777" w:rsidR="005A62A4" w:rsidRPr="00F4617E" w:rsidRDefault="005A62A4" w:rsidP="005A62A4">
            <w:r w:rsidRPr="00F4617E">
              <w:t xml:space="preserve">Treści modułu stanowią zagadnienia dotyczące szeroko pojętego amatorskiego użytkowania koni w formie gier i zabaw konnych. Studenci poznają zasady BHP podczas zajęć przy koniach, ze szczególnym uwzględnieniem zachowania bezpieczeństwa dzieci. Uczą się dostosowania  formy zajęć do możliwości jeźdźców, oraz doboru odpowiednich koni. Poznają sprzęt, wyposażenie i urządzenia niezbędne do prowadzenia tego rodzaju zajęć. Zaznajamiają się z zagadnieniami dotyczącymi zachowania dobrostanu pracujących koni. </w:t>
            </w:r>
          </w:p>
        </w:tc>
      </w:tr>
      <w:tr w:rsidR="005A62A4" w:rsidRPr="00F4617E" w14:paraId="3D2CD1D6" w14:textId="77777777" w:rsidTr="009072E1">
        <w:tc>
          <w:tcPr>
            <w:tcW w:w="3942" w:type="dxa"/>
            <w:shd w:val="clear" w:color="auto" w:fill="auto"/>
            <w:vAlign w:val="center"/>
          </w:tcPr>
          <w:p w14:paraId="3D00967C" w14:textId="77777777" w:rsidR="005A62A4" w:rsidRPr="00F4617E" w:rsidRDefault="005A62A4" w:rsidP="005A62A4">
            <w:r w:rsidRPr="00F4617E">
              <w:t>Wykaz literatury podstawowej i uzupełniającej</w:t>
            </w:r>
          </w:p>
        </w:tc>
        <w:tc>
          <w:tcPr>
            <w:tcW w:w="6543" w:type="dxa"/>
            <w:shd w:val="clear" w:color="auto" w:fill="auto"/>
            <w:vAlign w:val="center"/>
          </w:tcPr>
          <w:p w14:paraId="01779A22" w14:textId="77777777" w:rsidR="00F4617E" w:rsidRPr="00B2058E" w:rsidRDefault="00F4617E" w:rsidP="00F4617E">
            <w:pPr>
              <w:rPr>
                <w:b/>
                <w:i/>
              </w:rPr>
            </w:pPr>
            <w:r w:rsidRPr="00B2058E">
              <w:rPr>
                <w:b/>
                <w:i/>
              </w:rPr>
              <w:t xml:space="preserve">Literatura podstawowa: </w:t>
            </w:r>
          </w:p>
          <w:p w14:paraId="5B8C6FE1" w14:textId="3AA48C05" w:rsidR="005A62A4" w:rsidRPr="00F4617E" w:rsidRDefault="005A62A4" w:rsidP="00F4617E">
            <w:pPr>
              <w:pStyle w:val="Akapitzlist"/>
              <w:numPr>
                <w:ilvl w:val="0"/>
                <w:numId w:val="4"/>
              </w:numPr>
              <w:suppressAutoHyphens/>
              <w:jc w:val="both"/>
              <w:rPr>
                <w:rFonts w:eastAsia="Calibri"/>
                <w:lang w:eastAsia="ar-SA"/>
              </w:rPr>
            </w:pPr>
            <w:r w:rsidRPr="00F4617E">
              <w:rPr>
                <w:rFonts w:eastAsia="Calibri"/>
                <w:lang w:eastAsia="ar-SA"/>
              </w:rPr>
              <w:lastRenderedPageBreak/>
              <w:t>Zasady jazdy konnej – podstawowe wyszkolenie jeźdźca i konia. Tłumaczenie podręcznika niemieckiego. Polski Związek Jeździecki, Warszawa 2003.</w:t>
            </w:r>
          </w:p>
          <w:p w14:paraId="2315EBA1" w14:textId="77777777" w:rsidR="00F4617E" w:rsidRPr="00B2058E" w:rsidRDefault="00F4617E" w:rsidP="00F4617E">
            <w:pPr>
              <w:rPr>
                <w:b/>
                <w:i/>
              </w:rPr>
            </w:pPr>
            <w:r w:rsidRPr="00B2058E">
              <w:rPr>
                <w:b/>
                <w:i/>
              </w:rPr>
              <w:t xml:space="preserve">Literatura </w:t>
            </w:r>
            <w:r>
              <w:rPr>
                <w:b/>
                <w:i/>
              </w:rPr>
              <w:t>uzupełniająca</w:t>
            </w:r>
            <w:r w:rsidRPr="00B2058E">
              <w:rPr>
                <w:b/>
                <w:i/>
              </w:rPr>
              <w:t xml:space="preserve">: </w:t>
            </w:r>
          </w:p>
          <w:p w14:paraId="48C92566" w14:textId="5ECE7D69" w:rsidR="005A62A4" w:rsidRPr="00F4617E" w:rsidRDefault="005A62A4" w:rsidP="00F4617E">
            <w:pPr>
              <w:pStyle w:val="Akapitzlist"/>
              <w:numPr>
                <w:ilvl w:val="0"/>
                <w:numId w:val="5"/>
              </w:numPr>
              <w:suppressAutoHyphens/>
              <w:jc w:val="both"/>
              <w:rPr>
                <w:rFonts w:eastAsia="Calibri"/>
                <w:lang w:eastAsia="ar-SA"/>
              </w:rPr>
            </w:pPr>
            <w:r w:rsidRPr="00F4617E">
              <w:rPr>
                <w:rFonts w:eastAsia="Calibri"/>
                <w:lang w:eastAsia="ar-SA"/>
              </w:rPr>
              <w:t>Morris D. Dlaczego koń rży. O czym mówi nam zachowanie konia. Warszawa 1999.</w:t>
            </w:r>
          </w:p>
          <w:p w14:paraId="67AC8A27" w14:textId="5BA5527B" w:rsidR="005A62A4" w:rsidRPr="00F4617E" w:rsidRDefault="005A62A4" w:rsidP="00F4617E">
            <w:pPr>
              <w:pStyle w:val="Akapitzlist"/>
              <w:numPr>
                <w:ilvl w:val="0"/>
                <w:numId w:val="5"/>
              </w:numPr>
              <w:suppressAutoHyphens/>
              <w:jc w:val="both"/>
              <w:rPr>
                <w:rFonts w:eastAsia="Calibri"/>
                <w:lang w:eastAsia="ar-SA"/>
              </w:rPr>
            </w:pPr>
            <w:r w:rsidRPr="00F4617E">
              <w:rPr>
                <w:rFonts w:eastAsia="Calibri"/>
                <w:lang w:eastAsia="ar-SA"/>
              </w:rPr>
              <w:t>Kotowski J.M., Kaszuba-</w:t>
            </w:r>
            <w:proofErr w:type="spellStart"/>
            <w:r w:rsidRPr="00F4617E">
              <w:rPr>
                <w:rFonts w:eastAsia="Calibri"/>
                <w:lang w:eastAsia="ar-SA"/>
              </w:rPr>
              <w:t>Warpechowska</w:t>
            </w:r>
            <w:proofErr w:type="spellEnd"/>
            <w:r w:rsidRPr="00F4617E">
              <w:rPr>
                <w:rFonts w:eastAsia="Calibri"/>
                <w:lang w:eastAsia="ar-SA"/>
              </w:rPr>
              <w:t xml:space="preserve"> E. ABC jeździectwa. Warszawa 1998.</w:t>
            </w:r>
          </w:p>
          <w:p w14:paraId="613CDAAD" w14:textId="4B62C665" w:rsidR="005A62A4" w:rsidRPr="00F4617E" w:rsidRDefault="005A62A4" w:rsidP="00F4617E">
            <w:pPr>
              <w:pStyle w:val="Akapitzlist"/>
              <w:numPr>
                <w:ilvl w:val="0"/>
                <w:numId w:val="5"/>
              </w:numPr>
              <w:suppressAutoHyphens/>
              <w:jc w:val="both"/>
              <w:rPr>
                <w:rFonts w:eastAsia="Calibri"/>
                <w:lang w:eastAsia="ar-SA"/>
              </w:rPr>
            </w:pPr>
            <w:proofErr w:type="spellStart"/>
            <w:r w:rsidRPr="00F4617E">
              <w:rPr>
                <w:rFonts w:eastAsia="Calibri"/>
                <w:lang w:eastAsia="ar-SA"/>
              </w:rPr>
              <w:t>Gless</w:t>
            </w:r>
            <w:proofErr w:type="spellEnd"/>
            <w:r w:rsidRPr="00F4617E">
              <w:rPr>
                <w:rFonts w:eastAsia="Calibri"/>
                <w:lang w:eastAsia="ar-SA"/>
              </w:rPr>
              <w:t xml:space="preserve"> K. 600 rad dla miłośników koni. Warszawa 1993.</w:t>
            </w:r>
          </w:p>
          <w:p w14:paraId="769DF6E3" w14:textId="70D147B3" w:rsidR="005A62A4" w:rsidRPr="00F4617E" w:rsidRDefault="005A62A4" w:rsidP="00F4617E">
            <w:pPr>
              <w:pStyle w:val="Akapitzlist"/>
              <w:numPr>
                <w:ilvl w:val="0"/>
                <w:numId w:val="5"/>
              </w:numPr>
              <w:suppressAutoHyphens/>
              <w:jc w:val="both"/>
              <w:rPr>
                <w:rFonts w:eastAsia="Calibri"/>
                <w:lang w:eastAsia="ar-SA"/>
              </w:rPr>
            </w:pPr>
            <w:proofErr w:type="spellStart"/>
            <w:r w:rsidRPr="00F4617E">
              <w:rPr>
                <w:rFonts w:eastAsia="Calibri"/>
                <w:lang w:eastAsia="ar-SA"/>
              </w:rPr>
              <w:t>Pruchniewicz</w:t>
            </w:r>
            <w:proofErr w:type="spellEnd"/>
            <w:r w:rsidRPr="00F4617E">
              <w:rPr>
                <w:rFonts w:eastAsia="Calibri"/>
                <w:lang w:eastAsia="ar-SA"/>
              </w:rPr>
              <w:t xml:space="preserve"> W. Akademia jeździecka. Warszawa 2007</w:t>
            </w:r>
          </w:p>
          <w:p w14:paraId="25154CB7" w14:textId="77777777" w:rsidR="005A62A4" w:rsidRPr="00F4617E" w:rsidRDefault="005A62A4" w:rsidP="005A62A4"/>
        </w:tc>
      </w:tr>
      <w:tr w:rsidR="00F4617E" w:rsidRPr="00F4617E" w14:paraId="24DECAAC" w14:textId="77777777" w:rsidTr="009072E1">
        <w:tc>
          <w:tcPr>
            <w:tcW w:w="3942" w:type="dxa"/>
            <w:shd w:val="clear" w:color="auto" w:fill="auto"/>
            <w:vAlign w:val="center"/>
          </w:tcPr>
          <w:p w14:paraId="7B7AD1E9" w14:textId="77777777" w:rsidR="00F4617E" w:rsidRPr="00F4617E" w:rsidRDefault="00F4617E" w:rsidP="00F4617E">
            <w:r w:rsidRPr="00F4617E">
              <w:lastRenderedPageBreak/>
              <w:t>Planowane formy/działania/metody dydaktyczne</w:t>
            </w:r>
          </w:p>
        </w:tc>
        <w:tc>
          <w:tcPr>
            <w:tcW w:w="6543" w:type="dxa"/>
            <w:shd w:val="clear" w:color="auto" w:fill="auto"/>
            <w:vAlign w:val="center"/>
          </w:tcPr>
          <w:p w14:paraId="31D3C950" w14:textId="2C5930A8" w:rsidR="00F4617E" w:rsidRPr="00F4617E" w:rsidRDefault="00F4617E" w:rsidP="00F4617E">
            <w:r w:rsidRPr="00B50FC7">
              <w:t>wykłady, ćwiczenia praktyczne w ośrodku jeździeckim, ćwiczenia audytoryjne, ćwiczenia terenowe</w:t>
            </w:r>
          </w:p>
        </w:tc>
      </w:tr>
      <w:tr w:rsidR="005A62A4" w:rsidRPr="00F4617E" w14:paraId="5E9241CF" w14:textId="77777777" w:rsidTr="009072E1">
        <w:tc>
          <w:tcPr>
            <w:tcW w:w="3942" w:type="dxa"/>
            <w:shd w:val="clear" w:color="auto" w:fill="auto"/>
            <w:vAlign w:val="center"/>
          </w:tcPr>
          <w:p w14:paraId="1211DC56" w14:textId="77777777" w:rsidR="005A62A4" w:rsidRPr="00F4617E" w:rsidRDefault="005A62A4" w:rsidP="005A62A4">
            <w:r w:rsidRPr="00F4617E">
              <w:t>Sposoby weryfikacji oraz formy dokumentowania osiągniętych efektów uczenia się</w:t>
            </w:r>
          </w:p>
        </w:tc>
        <w:tc>
          <w:tcPr>
            <w:tcW w:w="6543" w:type="dxa"/>
            <w:shd w:val="clear" w:color="auto" w:fill="auto"/>
            <w:vAlign w:val="center"/>
          </w:tcPr>
          <w:p w14:paraId="523E9D64" w14:textId="77777777" w:rsidR="00494480" w:rsidRPr="00F4617E" w:rsidRDefault="00494480" w:rsidP="00494480">
            <w:pPr>
              <w:shd w:val="clear" w:color="auto" w:fill="FFFFFF"/>
              <w:rPr>
                <w:i/>
              </w:rPr>
            </w:pPr>
            <w:r w:rsidRPr="00F4617E">
              <w:rPr>
                <w:i/>
              </w:rPr>
              <w:t>W1, W2: zaliczenie pisemne</w:t>
            </w:r>
          </w:p>
          <w:p w14:paraId="4728F07A" w14:textId="77777777" w:rsidR="00494480" w:rsidRPr="00F4617E" w:rsidRDefault="00494480" w:rsidP="00494480">
            <w:pPr>
              <w:shd w:val="clear" w:color="auto" w:fill="FFFFFF"/>
              <w:rPr>
                <w:i/>
              </w:rPr>
            </w:pPr>
            <w:r w:rsidRPr="00F4617E">
              <w:rPr>
                <w:i/>
              </w:rPr>
              <w:t>U1: opracowanie konspektu zajęć jeździeckich z zastosowaniem elementów gier i zabaw</w:t>
            </w:r>
          </w:p>
          <w:p w14:paraId="089E486C" w14:textId="77777777" w:rsidR="00494480" w:rsidRPr="00F4617E" w:rsidRDefault="00494480" w:rsidP="00494480">
            <w:pPr>
              <w:rPr>
                <w:i/>
              </w:rPr>
            </w:pPr>
            <w:r w:rsidRPr="00F4617E">
              <w:rPr>
                <w:i/>
              </w:rPr>
              <w:t>K1, K2: odpowiedzi ustne na zajęciach, prawidłowe reagowanie na zaistniałe sytuacje z końmi i współdziałanie w pracy z ludźmi podczas zajęć w ośrodku stajennym.</w:t>
            </w:r>
          </w:p>
          <w:p w14:paraId="3B4D1161" w14:textId="77777777" w:rsidR="005A62A4" w:rsidRPr="00F4617E" w:rsidRDefault="005A62A4" w:rsidP="005A62A4">
            <w:pPr>
              <w:rPr>
                <w:i/>
              </w:rPr>
            </w:pPr>
          </w:p>
          <w:p w14:paraId="16A08E48" w14:textId="3CA1EDAF" w:rsidR="005A62A4" w:rsidRPr="00F4617E" w:rsidRDefault="005A62A4" w:rsidP="005A62A4">
            <w:pPr>
              <w:rPr>
                <w:i/>
              </w:rPr>
            </w:pPr>
            <w:r w:rsidRPr="00F4617E">
              <w:rPr>
                <w:i/>
                <w:u w:val="single"/>
              </w:rPr>
              <w:t>DOKUMENTOWANIE OSIĄGNIĘTYCH EFEKTÓW UCZENIA SIĘ</w:t>
            </w:r>
            <w:r w:rsidRPr="00F4617E">
              <w:rPr>
                <w:i/>
              </w:rPr>
              <w:t xml:space="preserve"> </w:t>
            </w:r>
            <w:r w:rsidR="00F4617E" w:rsidRPr="00B50FC7">
              <w:rPr>
                <w:i/>
              </w:rPr>
              <w:t>w formie: projekty, zaliczenie pisemne archiwizowane w formie papierowej</w:t>
            </w:r>
            <w:r w:rsidR="00F4617E">
              <w:rPr>
                <w:i/>
              </w:rPr>
              <w:t>, sprawdziany praktyczne i odpowiedzi ustne odnotowywane w dzienniku prowadzącego</w:t>
            </w:r>
          </w:p>
          <w:p w14:paraId="287F240B" w14:textId="77777777" w:rsidR="005A62A4" w:rsidRPr="00F4617E" w:rsidRDefault="005A62A4" w:rsidP="005A62A4">
            <w:pPr>
              <w:rPr>
                <w:i/>
              </w:rPr>
            </w:pPr>
          </w:p>
          <w:p w14:paraId="30968334" w14:textId="77777777" w:rsidR="005A62A4" w:rsidRPr="00F4617E" w:rsidRDefault="005A62A4" w:rsidP="005A62A4">
            <w:pPr>
              <w:rPr>
                <w:i/>
              </w:rPr>
            </w:pPr>
            <w:r w:rsidRPr="00F4617E">
              <w:rPr>
                <w:i/>
              </w:rPr>
              <w:t>Szczegółowe kryteria przy ocenie zaliczenia i prac kontrolnych</w:t>
            </w:r>
          </w:p>
          <w:p w14:paraId="19342721" w14:textId="77777777" w:rsidR="005A62A4" w:rsidRPr="00F4617E" w:rsidRDefault="005A62A4" w:rsidP="005A62A4">
            <w:pPr>
              <w:pStyle w:val="Akapitzlist"/>
              <w:numPr>
                <w:ilvl w:val="0"/>
                <w:numId w:val="1"/>
              </w:numPr>
              <w:ind w:left="197" w:hanging="218"/>
              <w:jc w:val="both"/>
              <w:rPr>
                <w:i/>
              </w:rPr>
            </w:pPr>
            <w:r w:rsidRPr="00F4617E">
              <w:rPr>
                <w:i/>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14:paraId="00CDCA2D" w14:textId="77777777" w:rsidR="005A62A4" w:rsidRPr="00F4617E" w:rsidRDefault="005A62A4" w:rsidP="005A62A4">
            <w:pPr>
              <w:pStyle w:val="Akapitzlist"/>
              <w:numPr>
                <w:ilvl w:val="0"/>
                <w:numId w:val="1"/>
              </w:numPr>
              <w:ind w:left="197" w:hanging="218"/>
              <w:jc w:val="both"/>
              <w:rPr>
                <w:i/>
              </w:rPr>
            </w:pPr>
            <w:r w:rsidRPr="00F4617E">
              <w:rPr>
                <w:i/>
              </w:rPr>
              <w:t xml:space="preserve">student wykazuje dostateczny plus (3,5) stopień wiedzy, umiejętności lub kompetencji, gdy uzyskuje od 61 do 70% sumy punktów określających maksymalny poziom wiedzy lub umiejętności z danego przedmiotu (odpowiednio – jego części), </w:t>
            </w:r>
          </w:p>
          <w:p w14:paraId="71D1C1C3" w14:textId="77777777" w:rsidR="005A62A4" w:rsidRPr="00F4617E" w:rsidRDefault="005A62A4" w:rsidP="005A62A4">
            <w:pPr>
              <w:pStyle w:val="Akapitzlist"/>
              <w:numPr>
                <w:ilvl w:val="0"/>
                <w:numId w:val="1"/>
              </w:numPr>
              <w:ind w:left="197" w:hanging="218"/>
              <w:jc w:val="both"/>
              <w:rPr>
                <w:i/>
              </w:rPr>
            </w:pPr>
            <w:r w:rsidRPr="00F4617E">
              <w:rPr>
                <w:i/>
              </w:rPr>
              <w:t xml:space="preserve">student wykazuje dobry stopień (4,0) wiedzy, umiejętności lub kompetencji, gdy uzyskuje od 71 do 80% sumy punktów określających maksymalny poziom wiedzy lub umiejętności z danego przedmiotu (odpowiednio – jego części), </w:t>
            </w:r>
          </w:p>
          <w:p w14:paraId="1703567F" w14:textId="77777777" w:rsidR="005A62A4" w:rsidRPr="00F4617E" w:rsidRDefault="005A62A4" w:rsidP="005A62A4">
            <w:pPr>
              <w:pStyle w:val="Akapitzlist"/>
              <w:numPr>
                <w:ilvl w:val="0"/>
                <w:numId w:val="1"/>
              </w:numPr>
              <w:ind w:left="197" w:hanging="218"/>
              <w:jc w:val="both"/>
              <w:rPr>
                <w:rFonts w:eastAsiaTheme="minorHAnsi"/>
                <w:i/>
              </w:rPr>
            </w:pPr>
            <w:r w:rsidRPr="00F4617E">
              <w:rPr>
                <w:i/>
              </w:rPr>
              <w:t>student wykazuje plus dobry stopień (4,5) wiedzy, umiejętności lub kompetencji, gdy uzyskuje od 81 do 90% sumy punktów określających maksymalny poziom wiedzy lub umiejętności z danego przedmiotu (odpowiednio – jego części),</w:t>
            </w:r>
          </w:p>
          <w:p w14:paraId="761A0081" w14:textId="77777777" w:rsidR="005A62A4" w:rsidRPr="00F4617E" w:rsidRDefault="005A62A4" w:rsidP="005A62A4">
            <w:pPr>
              <w:pStyle w:val="Akapitzlist"/>
              <w:numPr>
                <w:ilvl w:val="0"/>
                <w:numId w:val="1"/>
              </w:numPr>
              <w:ind w:left="197" w:hanging="218"/>
              <w:jc w:val="both"/>
              <w:rPr>
                <w:rFonts w:eastAsiaTheme="minorHAnsi"/>
                <w:i/>
              </w:rPr>
            </w:pPr>
            <w:r w:rsidRPr="00F4617E">
              <w:rPr>
                <w:i/>
              </w:rPr>
              <w:t>student wykazuje bardzo dobry stopień (5,0) wiedzy, umiejętności lub kompetencji, gdy uzyskuje powyżej 91% sumy punktów określających maksymalny poziom wiedzy lub umiejętności z danego przedmiotu (odpowiednio – jego części).</w:t>
            </w:r>
          </w:p>
        </w:tc>
      </w:tr>
      <w:tr w:rsidR="005A62A4" w:rsidRPr="00F4617E" w14:paraId="6273B586" w14:textId="77777777" w:rsidTr="009072E1">
        <w:tc>
          <w:tcPr>
            <w:tcW w:w="3942" w:type="dxa"/>
            <w:shd w:val="clear" w:color="auto" w:fill="auto"/>
            <w:vAlign w:val="center"/>
          </w:tcPr>
          <w:p w14:paraId="2BF3803C" w14:textId="77777777" w:rsidR="005A62A4" w:rsidRPr="00F4617E" w:rsidRDefault="005A62A4" w:rsidP="005A62A4">
            <w:r w:rsidRPr="00F4617E">
              <w:t>Elementy i wagi mające wpływ na ocenę końcową</w:t>
            </w:r>
          </w:p>
          <w:p w14:paraId="378B5610" w14:textId="77777777" w:rsidR="005A62A4" w:rsidRPr="00F4617E" w:rsidRDefault="005A62A4" w:rsidP="005A62A4"/>
          <w:p w14:paraId="77717C99" w14:textId="77777777" w:rsidR="005A62A4" w:rsidRPr="00F4617E" w:rsidRDefault="005A62A4" w:rsidP="005A62A4"/>
        </w:tc>
        <w:tc>
          <w:tcPr>
            <w:tcW w:w="6543" w:type="dxa"/>
            <w:shd w:val="clear" w:color="auto" w:fill="auto"/>
            <w:vAlign w:val="center"/>
          </w:tcPr>
          <w:p w14:paraId="57C60326" w14:textId="4CBB1FDF" w:rsidR="005A62A4" w:rsidRPr="00F4617E" w:rsidRDefault="005A62A4" w:rsidP="005A62A4">
            <w:pPr>
              <w:jc w:val="both"/>
              <w:rPr>
                <w:iCs/>
                <w:highlight w:val="yellow"/>
              </w:rPr>
            </w:pPr>
            <w:r w:rsidRPr="00F4617E">
              <w:rPr>
                <w:iCs/>
              </w:rPr>
              <w:t xml:space="preserve">Na ocenę końcową ma wpływ średnia ocena z </w:t>
            </w:r>
            <w:r w:rsidR="00552836" w:rsidRPr="00F4617E">
              <w:rPr>
                <w:iCs/>
              </w:rPr>
              <w:t>zaliczenia</w:t>
            </w:r>
            <w:r w:rsidRPr="00F4617E">
              <w:rPr>
                <w:iCs/>
              </w:rPr>
              <w:t xml:space="preserve"> (</w:t>
            </w:r>
            <w:r w:rsidR="00552836" w:rsidRPr="00F4617E">
              <w:rPr>
                <w:iCs/>
              </w:rPr>
              <w:t>7</w:t>
            </w:r>
            <w:r w:rsidRPr="00F4617E">
              <w:rPr>
                <w:iCs/>
              </w:rPr>
              <w:t xml:space="preserve">0%), ocena </w:t>
            </w:r>
            <w:r w:rsidR="00F4617E">
              <w:rPr>
                <w:iCs/>
              </w:rPr>
              <w:t>projektu</w:t>
            </w:r>
            <w:r w:rsidRPr="00F4617E">
              <w:rPr>
                <w:iCs/>
              </w:rPr>
              <w:t xml:space="preserve"> (</w:t>
            </w:r>
            <w:r w:rsidR="00552836" w:rsidRPr="00F4617E">
              <w:rPr>
                <w:iCs/>
              </w:rPr>
              <w:t>3</w:t>
            </w:r>
            <w:r w:rsidRPr="00F4617E">
              <w:rPr>
                <w:iCs/>
              </w:rPr>
              <w:t>0%). Warunki te są przedstawiane studentom i konsultowane z nimi na pierwszym wykładzie.</w:t>
            </w:r>
          </w:p>
        </w:tc>
      </w:tr>
      <w:tr w:rsidR="00F4617E" w:rsidRPr="00F4617E" w14:paraId="7C0DE2D7" w14:textId="77777777" w:rsidTr="00F4617E">
        <w:trPr>
          <w:trHeight w:val="1266"/>
        </w:trPr>
        <w:tc>
          <w:tcPr>
            <w:tcW w:w="3942" w:type="dxa"/>
            <w:shd w:val="clear" w:color="auto" w:fill="auto"/>
            <w:vAlign w:val="center"/>
          </w:tcPr>
          <w:p w14:paraId="0C07C507" w14:textId="77777777" w:rsidR="00F4617E" w:rsidRPr="00F4617E" w:rsidRDefault="00F4617E" w:rsidP="00F4617E">
            <w:pPr>
              <w:jc w:val="both"/>
            </w:pPr>
            <w:r w:rsidRPr="00F4617E">
              <w:lastRenderedPageBreak/>
              <w:t>Bilans punktów ECTS</w:t>
            </w:r>
          </w:p>
        </w:tc>
        <w:tc>
          <w:tcPr>
            <w:tcW w:w="6543" w:type="dxa"/>
            <w:shd w:val="clear" w:color="auto" w:fill="auto"/>
            <w:vAlign w:val="center"/>
          </w:tcPr>
          <w:p w14:paraId="6E3BDA5C" w14:textId="77777777" w:rsidR="00F4617E" w:rsidRPr="00B50FC7" w:rsidRDefault="00F4617E" w:rsidP="00F4617E">
            <w:pPr>
              <w:rPr>
                <w:i/>
              </w:rPr>
            </w:pPr>
            <w:r w:rsidRPr="00B50FC7">
              <w:t xml:space="preserve">     </w:t>
            </w:r>
            <w:r w:rsidRPr="00B50FC7">
              <w:rPr>
                <w:b/>
                <w:i/>
              </w:rPr>
              <w:t>Kontaktowe</w:t>
            </w:r>
          </w:p>
          <w:p w14:paraId="0934E945" w14:textId="77777777" w:rsidR="00F4617E" w:rsidRPr="00B50FC7" w:rsidRDefault="00F4617E" w:rsidP="00F4617E">
            <w:r w:rsidRPr="00B50FC7">
              <w:t xml:space="preserve">                 Godziny   ECTS</w:t>
            </w:r>
          </w:p>
          <w:p w14:paraId="4DE5BAA2" w14:textId="77777777" w:rsidR="00F4617E" w:rsidRPr="00B50FC7" w:rsidRDefault="00F4617E" w:rsidP="00F4617E">
            <w:r w:rsidRPr="00B50FC7">
              <w:t>Wykłady</w:t>
            </w:r>
            <w:r w:rsidRPr="00B50FC7">
              <w:tab/>
              <w:t>15</w:t>
            </w:r>
            <w:r w:rsidRPr="00B50FC7">
              <w:tab/>
              <w:t>0,6</w:t>
            </w:r>
          </w:p>
          <w:p w14:paraId="0135A608" w14:textId="77777777" w:rsidR="00F4617E" w:rsidRPr="00B50FC7" w:rsidRDefault="00F4617E" w:rsidP="00F4617E">
            <w:r w:rsidRPr="00B50FC7">
              <w:t xml:space="preserve">Ćwiczenia </w:t>
            </w:r>
            <w:r w:rsidRPr="00B50FC7">
              <w:tab/>
              <w:t>15</w:t>
            </w:r>
            <w:r w:rsidRPr="00B50FC7">
              <w:tab/>
              <w:t>0,6</w:t>
            </w:r>
          </w:p>
          <w:p w14:paraId="022F37D5" w14:textId="77777777" w:rsidR="00F4617E" w:rsidRPr="00B50FC7" w:rsidRDefault="00F4617E" w:rsidP="00F4617E">
            <w:r w:rsidRPr="00B50FC7">
              <w:t>Konsultacje</w:t>
            </w:r>
            <w:r w:rsidRPr="00B50FC7">
              <w:tab/>
              <w:t>3</w:t>
            </w:r>
            <w:r w:rsidRPr="00B50FC7">
              <w:tab/>
              <w:t>0,12</w:t>
            </w:r>
          </w:p>
          <w:p w14:paraId="687D9F53" w14:textId="77777777" w:rsidR="00F4617E" w:rsidRPr="00B50FC7" w:rsidRDefault="00F4617E" w:rsidP="00F4617E"/>
          <w:p w14:paraId="203B6007" w14:textId="77777777" w:rsidR="00F4617E" w:rsidRPr="00B50FC7" w:rsidRDefault="00F4617E" w:rsidP="00F4617E">
            <w:pPr>
              <w:rPr>
                <w:b/>
                <w:i/>
              </w:rPr>
            </w:pPr>
            <w:r w:rsidRPr="00B50FC7">
              <w:rPr>
                <w:b/>
                <w:i/>
              </w:rPr>
              <w:t>Łącznie 3</w:t>
            </w:r>
            <w:r>
              <w:rPr>
                <w:b/>
                <w:i/>
              </w:rPr>
              <w:t>3</w:t>
            </w:r>
            <w:r w:rsidRPr="00B50FC7">
              <w:rPr>
                <w:b/>
                <w:i/>
              </w:rPr>
              <w:t xml:space="preserve"> godz. (1,</w:t>
            </w:r>
            <w:r>
              <w:rPr>
                <w:b/>
                <w:i/>
              </w:rPr>
              <w:t>32</w:t>
            </w:r>
            <w:r w:rsidRPr="00B50FC7">
              <w:rPr>
                <w:b/>
                <w:i/>
              </w:rPr>
              <w:t xml:space="preserve"> ECTS)</w:t>
            </w:r>
          </w:p>
          <w:p w14:paraId="20DFA989" w14:textId="77777777" w:rsidR="00F4617E" w:rsidRPr="00B50FC7" w:rsidRDefault="00F4617E" w:rsidP="00F4617E">
            <w:pPr>
              <w:rPr>
                <w:b/>
                <w:i/>
              </w:rPr>
            </w:pPr>
          </w:p>
          <w:p w14:paraId="3F77C110" w14:textId="77777777" w:rsidR="00F4617E" w:rsidRPr="00B50FC7" w:rsidRDefault="00F4617E" w:rsidP="00F4617E">
            <w:pPr>
              <w:rPr>
                <w:b/>
                <w:i/>
              </w:rPr>
            </w:pPr>
            <w:r w:rsidRPr="00B50FC7">
              <w:rPr>
                <w:b/>
                <w:i/>
              </w:rPr>
              <w:t xml:space="preserve"> </w:t>
            </w:r>
            <w:proofErr w:type="spellStart"/>
            <w:r w:rsidRPr="00B50FC7">
              <w:rPr>
                <w:b/>
                <w:i/>
              </w:rPr>
              <w:t>Niekontaktowe</w:t>
            </w:r>
            <w:proofErr w:type="spellEnd"/>
          </w:p>
          <w:p w14:paraId="703669E9" w14:textId="77777777" w:rsidR="00F4617E" w:rsidRPr="00B50FC7" w:rsidRDefault="00F4617E" w:rsidP="00F4617E">
            <w:r w:rsidRPr="00B50FC7">
              <w:t xml:space="preserve">                                                   Godziny   ECTS</w:t>
            </w:r>
          </w:p>
          <w:p w14:paraId="728A0D72" w14:textId="77777777" w:rsidR="00F4617E" w:rsidRPr="00B50FC7" w:rsidRDefault="00F4617E" w:rsidP="00F4617E">
            <w:r w:rsidRPr="00B50FC7">
              <w:t>Przygotowanie prezentacji     10</w:t>
            </w:r>
            <w:r w:rsidRPr="00B50FC7">
              <w:tab/>
              <w:t>0,4</w:t>
            </w:r>
          </w:p>
          <w:p w14:paraId="3532CDB8" w14:textId="77777777" w:rsidR="00F4617E" w:rsidRPr="00B50FC7" w:rsidRDefault="00F4617E" w:rsidP="00F4617E">
            <w:r w:rsidRPr="00B50FC7">
              <w:t xml:space="preserve">Przygotowanie do zaliczeń     </w:t>
            </w:r>
            <w:r>
              <w:t>7</w:t>
            </w:r>
            <w:r w:rsidRPr="00B50FC7">
              <w:tab/>
              <w:t>0,2</w:t>
            </w:r>
            <w:r>
              <w:t>8</w:t>
            </w:r>
          </w:p>
          <w:p w14:paraId="790AD6B2" w14:textId="77777777" w:rsidR="00F4617E" w:rsidRPr="00B50FC7" w:rsidRDefault="00F4617E" w:rsidP="00F4617E">
            <w:pPr>
              <w:rPr>
                <w:b/>
              </w:rPr>
            </w:pPr>
          </w:p>
          <w:p w14:paraId="5F98980C" w14:textId="7147DA6E" w:rsidR="00F4617E" w:rsidRPr="00F4617E" w:rsidRDefault="00F4617E" w:rsidP="00F4617E">
            <w:pPr>
              <w:rPr>
                <w:b/>
                <w:i/>
                <w:iCs/>
              </w:rPr>
            </w:pPr>
            <w:r w:rsidRPr="00B50FC7">
              <w:rPr>
                <w:b/>
                <w:i/>
                <w:iCs/>
              </w:rPr>
              <w:t>Łącznie  17 godz. (0,68 ECTS)</w:t>
            </w:r>
          </w:p>
        </w:tc>
      </w:tr>
      <w:tr w:rsidR="00F4617E" w:rsidRPr="00F4617E" w14:paraId="6C8ED72A" w14:textId="77777777" w:rsidTr="009072E1">
        <w:trPr>
          <w:trHeight w:val="718"/>
        </w:trPr>
        <w:tc>
          <w:tcPr>
            <w:tcW w:w="3942" w:type="dxa"/>
            <w:shd w:val="clear" w:color="auto" w:fill="auto"/>
            <w:vAlign w:val="center"/>
          </w:tcPr>
          <w:p w14:paraId="3BC4542E" w14:textId="77777777" w:rsidR="00F4617E" w:rsidRPr="00F4617E" w:rsidRDefault="00F4617E" w:rsidP="00F4617E">
            <w:r w:rsidRPr="00F4617E">
              <w:t xml:space="preserve">Nakład pracy związany z zajęciami wymagającymi bezpośredniego udziału nauczyciela akademickiego </w:t>
            </w:r>
          </w:p>
        </w:tc>
        <w:tc>
          <w:tcPr>
            <w:tcW w:w="6543" w:type="dxa"/>
            <w:shd w:val="clear" w:color="auto" w:fill="auto"/>
            <w:vAlign w:val="center"/>
          </w:tcPr>
          <w:p w14:paraId="75DE4F23" w14:textId="26788735" w:rsidR="00F4617E" w:rsidRPr="00F4617E" w:rsidRDefault="00F4617E" w:rsidP="00F4617E">
            <w:pPr>
              <w:jc w:val="both"/>
              <w:rPr>
                <w:i/>
              </w:rPr>
            </w:pPr>
            <w:r w:rsidRPr="00B50FC7">
              <w:rPr>
                <w:i/>
              </w:rPr>
              <w:t xml:space="preserve">Wykłady – 15 godz.; ćwiczenia – 15 – godz.; konsultacje – 3 godz., </w:t>
            </w:r>
          </w:p>
        </w:tc>
      </w:tr>
    </w:tbl>
    <w:p w14:paraId="0885285B" w14:textId="77777777" w:rsidR="001716C2" w:rsidRPr="00C01F6A" w:rsidRDefault="001716C2" w:rsidP="001716C2">
      <w:pPr>
        <w:rPr>
          <w:rFonts w:asciiTheme="minorHAnsi" w:hAnsiTheme="minorHAnsi" w:cstheme="minorHAnsi"/>
        </w:rPr>
      </w:pPr>
    </w:p>
    <w:p w14:paraId="7769D564" w14:textId="5F49CC7C" w:rsidR="008709B3" w:rsidRDefault="008709B3">
      <w:pPr>
        <w:spacing w:after="160" w:line="259" w:lineRule="auto"/>
        <w:rPr>
          <w:rFonts w:asciiTheme="minorHAnsi" w:hAnsiTheme="minorHAnsi" w:cstheme="minorHAnsi"/>
        </w:rPr>
      </w:pPr>
    </w:p>
    <w:sectPr w:rsidR="008709B3" w:rsidSect="000A37AA">
      <w:foot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92FD" w14:textId="77777777" w:rsidR="00B94D60" w:rsidRDefault="00B94D60">
      <w:r>
        <w:separator/>
      </w:r>
    </w:p>
  </w:endnote>
  <w:endnote w:type="continuationSeparator" w:id="0">
    <w:p w14:paraId="03327408" w14:textId="77777777" w:rsidR="00B94D60" w:rsidRDefault="00B9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739A581F" w14:textId="77777777" w:rsidR="00992D17" w:rsidRDefault="001716C2">
            <w:pPr>
              <w:pStyle w:val="Stopka"/>
              <w:jc w:val="right"/>
            </w:pPr>
            <w:r w:rsidRPr="00992D17">
              <w:rPr>
                <w:bCs/>
              </w:rPr>
              <w:fldChar w:fldCharType="begin"/>
            </w:r>
            <w:r w:rsidRPr="00992D17">
              <w:rPr>
                <w:bCs/>
              </w:rPr>
              <w:instrText>PAGE</w:instrText>
            </w:r>
            <w:r w:rsidRPr="00992D17">
              <w:rPr>
                <w:bCs/>
              </w:rPr>
              <w:fldChar w:fldCharType="separate"/>
            </w:r>
            <w:r>
              <w:rPr>
                <w:bCs/>
                <w:noProof/>
              </w:rPr>
              <w:t>4</w:t>
            </w:r>
            <w:r w:rsidRPr="00992D17">
              <w:rPr>
                <w:bCs/>
              </w:rPr>
              <w:fldChar w:fldCharType="end"/>
            </w:r>
            <w:r w:rsidRPr="00992D17">
              <w:rPr>
                <w:bCs/>
              </w:rPr>
              <w:t>/</w:t>
            </w:r>
            <w:r w:rsidRPr="00992D17">
              <w:rPr>
                <w:bCs/>
              </w:rPr>
              <w:fldChar w:fldCharType="begin"/>
            </w:r>
            <w:r w:rsidRPr="00992D17">
              <w:rPr>
                <w:bCs/>
              </w:rPr>
              <w:instrText>NUMPAGES</w:instrText>
            </w:r>
            <w:r w:rsidRPr="00992D17">
              <w:rPr>
                <w:bCs/>
              </w:rPr>
              <w:fldChar w:fldCharType="separate"/>
            </w:r>
            <w:r>
              <w:rPr>
                <w:bCs/>
                <w:noProof/>
              </w:rPr>
              <w:t>4</w:t>
            </w:r>
            <w:r w:rsidRPr="00992D17">
              <w:rPr>
                <w:bCs/>
              </w:rPr>
              <w:fldChar w:fldCharType="end"/>
            </w:r>
          </w:p>
        </w:sdtContent>
      </w:sdt>
    </w:sdtContent>
  </w:sdt>
  <w:p w14:paraId="03337FA6" w14:textId="77777777" w:rsidR="008D17BD" w:rsidRDefault="00B94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460E" w14:textId="77777777" w:rsidR="00B94D60" w:rsidRDefault="00B94D60">
      <w:r>
        <w:separator/>
      </w:r>
    </w:p>
  </w:footnote>
  <w:footnote w:type="continuationSeparator" w:id="0">
    <w:p w14:paraId="26346666" w14:textId="77777777" w:rsidR="00B94D60" w:rsidRDefault="00B94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2F"/>
    <w:multiLevelType w:val="hybridMultilevel"/>
    <w:tmpl w:val="EE3C3166"/>
    <w:lvl w:ilvl="0" w:tplc="F1307C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A183A32"/>
    <w:multiLevelType w:val="hybridMultilevel"/>
    <w:tmpl w:val="8FD0821C"/>
    <w:lvl w:ilvl="0" w:tplc="F1307C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67C375C3"/>
    <w:multiLevelType w:val="hybridMultilevel"/>
    <w:tmpl w:val="0F6E568A"/>
    <w:lvl w:ilvl="0" w:tplc="77E624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67F146CA"/>
    <w:multiLevelType w:val="hybridMultilevel"/>
    <w:tmpl w:val="09D20830"/>
    <w:lvl w:ilvl="0" w:tplc="77E624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C2"/>
    <w:rsid w:val="001716C2"/>
    <w:rsid w:val="001E01D2"/>
    <w:rsid w:val="00250EC1"/>
    <w:rsid w:val="0025289D"/>
    <w:rsid w:val="00287887"/>
    <w:rsid w:val="002F7138"/>
    <w:rsid w:val="00317D13"/>
    <w:rsid w:val="00422138"/>
    <w:rsid w:val="004232E7"/>
    <w:rsid w:val="00494480"/>
    <w:rsid w:val="00552836"/>
    <w:rsid w:val="005A62A4"/>
    <w:rsid w:val="00726C4C"/>
    <w:rsid w:val="0077499F"/>
    <w:rsid w:val="00820DD3"/>
    <w:rsid w:val="00821A17"/>
    <w:rsid w:val="008709B3"/>
    <w:rsid w:val="008D0037"/>
    <w:rsid w:val="00950660"/>
    <w:rsid w:val="00980638"/>
    <w:rsid w:val="009C252E"/>
    <w:rsid w:val="00B25346"/>
    <w:rsid w:val="00B275A0"/>
    <w:rsid w:val="00B94D60"/>
    <w:rsid w:val="00C01F6A"/>
    <w:rsid w:val="00C10E92"/>
    <w:rsid w:val="00C964D7"/>
    <w:rsid w:val="00D22888"/>
    <w:rsid w:val="00D61A60"/>
    <w:rsid w:val="00F37A2D"/>
    <w:rsid w:val="00F46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B17D"/>
  <w15:chartTrackingRefBased/>
  <w15:docId w15:val="{B06D351B-C941-4DFE-B0D3-39E1B4F2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16C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716C2"/>
    <w:pPr>
      <w:tabs>
        <w:tab w:val="center" w:pos="4536"/>
        <w:tab w:val="right" w:pos="9072"/>
      </w:tabs>
    </w:pPr>
  </w:style>
  <w:style w:type="character" w:customStyle="1" w:styleId="StopkaZnak">
    <w:name w:val="Stopka Znak"/>
    <w:basedOn w:val="Domylnaczcionkaakapitu"/>
    <w:link w:val="Stopka"/>
    <w:uiPriority w:val="99"/>
    <w:rsid w:val="001716C2"/>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1716C2"/>
    <w:pPr>
      <w:ind w:left="720"/>
      <w:contextualSpacing/>
    </w:pPr>
  </w:style>
  <w:style w:type="character" w:customStyle="1" w:styleId="hps">
    <w:name w:val="hps"/>
    <w:rsid w:val="005A62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778</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8</cp:revision>
  <dcterms:created xsi:type="dcterms:W3CDTF">2023-02-20T21:56:00Z</dcterms:created>
  <dcterms:modified xsi:type="dcterms:W3CDTF">2024-02-04T16:27:00Z</dcterms:modified>
</cp:coreProperties>
</file>