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641EF1" w:rsidP="00641EF1">
            <w:pPr>
              <w:rPr>
                <w:lang w:val="en-US"/>
              </w:rPr>
            </w:pPr>
            <w:r>
              <w:rPr>
                <w:lang w:val="en-US"/>
              </w:rPr>
              <w:t xml:space="preserve">Dietary mistakes in companion animals/ </w:t>
            </w:r>
            <w:proofErr w:type="spellStart"/>
            <w:r>
              <w:rPr>
                <w:lang w:val="en-US"/>
              </w:rPr>
              <w:t>Błędy</w:t>
            </w:r>
            <w:proofErr w:type="spellEnd"/>
            <w:r>
              <w:rPr>
                <w:lang w:val="en-US"/>
              </w:rPr>
              <w:t xml:space="preserve"> </w:t>
            </w:r>
            <w:proofErr w:type="spellStart"/>
            <w:r>
              <w:rPr>
                <w:lang w:val="en-US"/>
              </w:rPr>
              <w:t>dietetyczne</w:t>
            </w:r>
            <w:proofErr w:type="spellEnd"/>
            <w:r>
              <w:rPr>
                <w:lang w:val="en-US"/>
              </w:rPr>
              <w:t xml:space="preserve"> w </w:t>
            </w:r>
            <w:proofErr w:type="spellStart"/>
            <w:r>
              <w:rPr>
                <w:lang w:val="en-US"/>
              </w:rPr>
              <w:t>żywieniu</w:t>
            </w:r>
            <w:proofErr w:type="spellEnd"/>
            <w:r>
              <w:rPr>
                <w:lang w:val="en-US"/>
              </w:rPr>
              <w:t xml:space="preserve"> </w:t>
            </w:r>
            <w:proofErr w:type="spellStart"/>
            <w:r>
              <w:rPr>
                <w:lang w:val="en-US"/>
              </w:rPr>
              <w:t>zwierząt</w:t>
            </w:r>
            <w:proofErr w:type="spellEnd"/>
            <w:r>
              <w:rPr>
                <w:lang w:val="en-US"/>
              </w:rPr>
              <w:t xml:space="preserve"> </w:t>
            </w:r>
            <w:proofErr w:type="spellStart"/>
            <w:r>
              <w:rPr>
                <w:lang w:val="en-US"/>
              </w:rPr>
              <w:t>towarzyszacych</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BC39E2" w:rsidP="00040179">
            <w:pPr>
              <w:rPr>
                <w:color w:val="FF0000"/>
              </w:rPr>
            </w:pPr>
            <w:proofErr w:type="spellStart"/>
            <w:r w:rsidRPr="00515B0D">
              <w:rPr>
                <w:sz w:val="22"/>
                <w:szCs w:val="22"/>
              </w:rPr>
              <w:t>stationary</w:t>
            </w:r>
            <w:proofErr w:type="spellEnd"/>
            <w:r w:rsidRPr="00515B0D">
              <w:rPr>
                <w:sz w:val="22"/>
                <w:szCs w:val="22"/>
              </w:rPr>
              <w:t xml:space="preserve"> </w:t>
            </w:r>
            <w:proofErr w:type="spellStart"/>
            <w:r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EF3C09">
            <w:r w:rsidRPr="00BC39E2">
              <w:t>3  (1,4/1,6)</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641EF1" w:rsidP="007A252D">
            <w:r>
              <w:t xml:space="preserve">dr </w:t>
            </w:r>
            <w:r w:rsidR="00BC39E2" w:rsidRPr="00BC39E2">
              <w:t xml:space="preserve"> inż. </w:t>
            </w:r>
            <w:r>
              <w:t>Edyta Kowalczuk</w:t>
            </w:r>
          </w:p>
          <w:p w:rsidR="00BC39E2" w:rsidRPr="00BC39E2" w:rsidRDefault="00BC39E2" w:rsidP="007A252D"/>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lastRenderedPageBreak/>
              <w:t>3.0 - student shows a sufficient degree of knowledge or skills, 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lectures - 14/0.56</w:t>
            </w:r>
          </w:p>
          <w:p w:rsidR="00507D4F" w:rsidRPr="00507D4F" w:rsidRDefault="00507D4F" w:rsidP="00507D4F">
            <w:pPr>
              <w:rPr>
                <w:lang w:val="en-IE"/>
              </w:rPr>
            </w:pPr>
            <w:r w:rsidRPr="00507D4F">
              <w:rPr>
                <w:lang w:val="en-IE"/>
              </w:rPr>
              <w:t>audit exercises- 5/0.20</w:t>
            </w:r>
          </w:p>
          <w:p w:rsidR="00507D4F" w:rsidRPr="00507D4F" w:rsidRDefault="00507D4F" w:rsidP="00507D4F">
            <w:pPr>
              <w:rPr>
                <w:lang w:val="en-IE"/>
              </w:rPr>
            </w:pPr>
            <w:r w:rsidRPr="00507D4F">
              <w:rPr>
                <w:lang w:val="en-IE"/>
              </w:rPr>
              <w:t>laboratory exercises- 10/0.40</w:t>
            </w:r>
          </w:p>
          <w:p w:rsidR="00507D4F" w:rsidRPr="00507D4F" w:rsidRDefault="00507D4F" w:rsidP="00507D4F">
            <w:pPr>
              <w:rPr>
                <w:lang w:val="en-IE"/>
              </w:rPr>
            </w:pPr>
            <w:r w:rsidRPr="00507D4F">
              <w:rPr>
                <w:lang w:val="en-IE"/>
              </w:rPr>
              <w:t>consultations- 5/0.20</w:t>
            </w:r>
          </w:p>
          <w:p w:rsidR="00507D4F" w:rsidRPr="00507D4F" w:rsidRDefault="00507D4F" w:rsidP="00507D4F">
            <w:pPr>
              <w:rPr>
                <w:lang w:val="en-IE"/>
              </w:rPr>
            </w:pPr>
            <w:r w:rsidRPr="00507D4F">
              <w:rPr>
                <w:lang w:val="en-IE"/>
              </w:rPr>
              <w:t>credit -1/0.04</w:t>
            </w:r>
          </w:p>
          <w:p w:rsidR="00507D4F" w:rsidRPr="00A33F0D" w:rsidRDefault="00507D4F" w:rsidP="00507D4F">
            <w:pPr>
              <w:rPr>
                <w:b/>
                <w:lang w:val="en-IE"/>
              </w:rPr>
            </w:pPr>
            <w:r w:rsidRPr="00A33F0D">
              <w:rPr>
                <w:b/>
                <w:lang w:val="en-IE"/>
              </w:rPr>
              <w:t>total contact - 35/1.4</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exercises-10/0.40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preparation-10/0.40</w:t>
            </w:r>
          </w:p>
          <w:p w:rsidR="00507D4F" w:rsidRPr="00507D4F" w:rsidRDefault="00507D4F" w:rsidP="00507D4F">
            <w:pPr>
              <w:rPr>
                <w:lang w:val="en-IE"/>
              </w:rPr>
            </w:pPr>
            <w:r w:rsidRPr="00507D4F">
              <w:rPr>
                <w:lang w:val="en-IE"/>
              </w:rPr>
              <w:t>preparation for the pass-10/0.40</w:t>
            </w:r>
          </w:p>
          <w:p w:rsidR="00BA08E1" w:rsidRPr="00A33F0D" w:rsidRDefault="00507D4F" w:rsidP="00507D4F">
            <w:pPr>
              <w:rPr>
                <w:b/>
                <w:color w:val="FF0000"/>
                <w:lang w:val="en-IE"/>
              </w:rPr>
            </w:pPr>
            <w:r w:rsidRPr="00A33F0D">
              <w:rPr>
                <w:b/>
                <w:lang w:val="en-IE"/>
              </w:rPr>
              <w:t>total non-contact - 40/1.6</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040179" w:rsidRPr="00F12A0E">
              <w:rPr>
                <w:lang w:val="en-IE"/>
              </w:rPr>
              <w:t xml:space="preserve"> – 1</w:t>
            </w:r>
            <w:r w:rsidR="00966D93" w:rsidRPr="00F12A0E">
              <w:rPr>
                <w:lang w:val="en-IE"/>
              </w:rPr>
              <w:t>5</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996045" w:rsidRPr="00E14A81">
              <w:rPr>
                <w:lang w:val="en-IE"/>
              </w:rPr>
              <w:t>1</w:t>
            </w:r>
            <w:r w:rsidR="00966D93" w:rsidRPr="00E14A81">
              <w:rPr>
                <w:lang w:val="en-IE"/>
              </w:rPr>
              <w:t>5</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9E4C36" w:rsidRPr="00E14A81">
              <w:rPr>
                <w:lang w:val="en-IE"/>
              </w:rPr>
              <w:t>5</w:t>
            </w:r>
            <w:r w:rsidR="00A36B42" w:rsidRPr="00E14A81">
              <w:rPr>
                <w:lang w:val="en-IE"/>
              </w:rPr>
              <w:t xml:space="preserve"> </w:t>
            </w:r>
            <w:r w:rsidRPr="00E14A81">
              <w:rPr>
                <w:lang w:val="en-IE"/>
              </w:rPr>
              <w:t>h</w:t>
            </w:r>
            <w:r w:rsidR="00A36B42" w:rsidRPr="00E14A81">
              <w:rPr>
                <w:lang w:val="en-IE"/>
              </w:rPr>
              <w:t>.,</w:t>
            </w:r>
          </w:p>
          <w:p w:rsidR="00040179" w:rsidRPr="00E14A81" w:rsidRDefault="00E14A81" w:rsidP="00966D93">
            <w:pPr>
              <w:jc w:val="both"/>
              <w:rPr>
                <w:lang w:val="en-IE"/>
              </w:rPr>
            </w:pPr>
            <w:r w:rsidRPr="00E14A81">
              <w:rPr>
                <w:lang w:val="en-IE"/>
              </w:rPr>
              <w:t>test</w:t>
            </w:r>
            <w:r w:rsidR="00A36B42" w:rsidRPr="00E14A81">
              <w:rPr>
                <w:lang w:val="en-IE"/>
              </w:rPr>
              <w:t xml:space="preserve"> -</w:t>
            </w:r>
            <w:r w:rsidR="00040179" w:rsidRPr="00E14A81">
              <w:rPr>
                <w:lang w:val="en-IE"/>
              </w:rPr>
              <w:t xml:space="preserve"> </w:t>
            </w:r>
            <w:r w:rsidR="00996045" w:rsidRPr="00E14A81">
              <w:rPr>
                <w:lang w:val="en-IE"/>
              </w:rPr>
              <w:t>1</w:t>
            </w:r>
            <w:r w:rsidR="00A36B42" w:rsidRPr="00E14A81">
              <w:rPr>
                <w:lang w:val="en-IE"/>
              </w:rPr>
              <w:t xml:space="preserve"> </w:t>
            </w:r>
            <w:r w:rsidR="00BC39E2" w:rsidRPr="00E14A81">
              <w:rPr>
                <w:lang w:val="en-IE"/>
              </w:rPr>
              <w:t>h</w:t>
            </w:r>
            <w:r w:rsidR="00A36B42" w:rsidRPr="00E14A81">
              <w:rPr>
                <w:lang w:val="en-IE"/>
              </w:rPr>
              <w:t>.,</w:t>
            </w:r>
          </w:p>
          <w:p w:rsidR="00A36B42" w:rsidRPr="00F12A0E" w:rsidRDefault="00A33F0D" w:rsidP="00BC39E2">
            <w:pPr>
              <w:jc w:val="both"/>
              <w:rPr>
                <w:color w:val="FF0000"/>
                <w:lang w:val="en-IE"/>
              </w:rPr>
            </w:pPr>
            <w:r w:rsidRPr="00A33F0D">
              <w:rPr>
                <w:b/>
                <w:sz w:val="22"/>
                <w:szCs w:val="22"/>
                <w:lang w:val="en-IE"/>
              </w:rPr>
              <w:t>total</w:t>
            </w:r>
            <w:r w:rsidR="00A36B42" w:rsidRPr="00F12A0E">
              <w:rPr>
                <w:lang w:val="en-IE"/>
              </w:rPr>
              <w:t xml:space="preserve"> </w:t>
            </w:r>
            <w:r w:rsidR="009E4C36" w:rsidRPr="00F12A0E">
              <w:rPr>
                <w:lang w:val="en-IE"/>
              </w:rPr>
              <w:t>36</w:t>
            </w:r>
            <w:r w:rsidR="00A36B42" w:rsidRPr="00F12A0E">
              <w:rPr>
                <w:lang w:val="en-IE"/>
              </w:rPr>
              <w:t xml:space="preserve"> </w:t>
            </w:r>
            <w:r w:rsidR="00BC39E2" w:rsidRPr="00F12A0E">
              <w:rPr>
                <w:lang w:val="en-IE"/>
              </w:rPr>
              <w:t>h</w:t>
            </w:r>
            <w:r w:rsidR="00A36B42" w:rsidRPr="00F12A0E">
              <w:rPr>
                <w:lang w:val="en-IE"/>
              </w:rPr>
              <w:t>.</w:t>
            </w:r>
            <w:r w:rsidR="001F6FF2" w:rsidRPr="00F12A0E">
              <w:rPr>
                <w:lang w:val="en-IE"/>
              </w:rPr>
              <w:t>/</w:t>
            </w:r>
            <w:r w:rsidR="00A36B42" w:rsidRPr="00F12A0E">
              <w:rPr>
                <w:lang w:val="en-IE"/>
              </w:rPr>
              <w:t>1,</w:t>
            </w:r>
            <w:r w:rsidR="009E4C36" w:rsidRPr="00F12A0E">
              <w:rPr>
                <w:lang w:val="en-IE"/>
              </w:rPr>
              <w:t>4</w:t>
            </w:r>
            <w:r w:rsidR="00A36B42" w:rsidRPr="00F12A0E">
              <w:rPr>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73" w:rsidRDefault="00744073" w:rsidP="008D17BD">
      <w:r>
        <w:separator/>
      </w:r>
    </w:p>
  </w:endnote>
  <w:endnote w:type="continuationSeparator" w:id="0">
    <w:p w:rsidR="00744073" w:rsidRDefault="00744073"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FC0ABB">
            <w:pPr>
              <w:pStyle w:val="Stopka"/>
              <w:jc w:val="right"/>
            </w:pPr>
            <w:r w:rsidRPr="00992D17">
              <w:rPr>
                <w:bCs/>
              </w:rPr>
              <w:fldChar w:fldCharType="begin"/>
            </w:r>
            <w:r w:rsidR="00996045" w:rsidRPr="00992D17">
              <w:rPr>
                <w:bCs/>
              </w:rPr>
              <w:instrText>PAGE</w:instrText>
            </w:r>
            <w:r w:rsidRPr="00992D17">
              <w:rPr>
                <w:bCs/>
              </w:rPr>
              <w:fldChar w:fldCharType="separate"/>
            </w:r>
            <w:r w:rsidR="00641EF1">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641EF1">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73" w:rsidRDefault="00744073" w:rsidP="008D17BD">
      <w:r>
        <w:separator/>
      </w:r>
    </w:p>
  </w:footnote>
  <w:footnote w:type="continuationSeparator" w:id="0">
    <w:p w:rsidR="00744073" w:rsidRDefault="00744073"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rwUAzGwEqCwAAAA="/>
  </w:docVars>
  <w:rsids>
    <w:rsidRoot w:val="00023A99"/>
    <w:rsid w:val="00014F22"/>
    <w:rsid w:val="00023A99"/>
    <w:rsid w:val="00040179"/>
    <w:rsid w:val="000C2C0E"/>
    <w:rsid w:val="000C68DF"/>
    <w:rsid w:val="000F587A"/>
    <w:rsid w:val="00101F00"/>
    <w:rsid w:val="00120EC7"/>
    <w:rsid w:val="00134A02"/>
    <w:rsid w:val="001555F2"/>
    <w:rsid w:val="001930F9"/>
    <w:rsid w:val="00195972"/>
    <w:rsid w:val="001B29F6"/>
    <w:rsid w:val="001F377A"/>
    <w:rsid w:val="001F6FF2"/>
    <w:rsid w:val="00201792"/>
    <w:rsid w:val="00206860"/>
    <w:rsid w:val="00207270"/>
    <w:rsid w:val="002104F0"/>
    <w:rsid w:val="002219B3"/>
    <w:rsid w:val="002232C1"/>
    <w:rsid w:val="002B3EEC"/>
    <w:rsid w:val="0032739E"/>
    <w:rsid w:val="003853C3"/>
    <w:rsid w:val="0038717B"/>
    <w:rsid w:val="003B32BF"/>
    <w:rsid w:val="00457679"/>
    <w:rsid w:val="004604DD"/>
    <w:rsid w:val="00493C76"/>
    <w:rsid w:val="004D7A27"/>
    <w:rsid w:val="004E5DB2"/>
    <w:rsid w:val="00500899"/>
    <w:rsid w:val="00507D4F"/>
    <w:rsid w:val="005426EA"/>
    <w:rsid w:val="0057184E"/>
    <w:rsid w:val="005B732F"/>
    <w:rsid w:val="00617D3D"/>
    <w:rsid w:val="00641DB5"/>
    <w:rsid w:val="00641EF1"/>
    <w:rsid w:val="00655882"/>
    <w:rsid w:val="00673CD6"/>
    <w:rsid w:val="006742BC"/>
    <w:rsid w:val="00676160"/>
    <w:rsid w:val="006C32FB"/>
    <w:rsid w:val="006C6478"/>
    <w:rsid w:val="006F0DA5"/>
    <w:rsid w:val="006F3573"/>
    <w:rsid w:val="00744073"/>
    <w:rsid w:val="007A252D"/>
    <w:rsid w:val="007A3BEE"/>
    <w:rsid w:val="007D12E8"/>
    <w:rsid w:val="007E676D"/>
    <w:rsid w:val="00806F43"/>
    <w:rsid w:val="00830136"/>
    <w:rsid w:val="00842EFF"/>
    <w:rsid w:val="00881CBB"/>
    <w:rsid w:val="0089357C"/>
    <w:rsid w:val="008A59DB"/>
    <w:rsid w:val="008D17BD"/>
    <w:rsid w:val="008F3348"/>
    <w:rsid w:val="0092197E"/>
    <w:rsid w:val="00966D93"/>
    <w:rsid w:val="009722A1"/>
    <w:rsid w:val="00980EBB"/>
    <w:rsid w:val="00991350"/>
    <w:rsid w:val="00992D17"/>
    <w:rsid w:val="00996045"/>
    <w:rsid w:val="009C2572"/>
    <w:rsid w:val="009C6A00"/>
    <w:rsid w:val="009E49CA"/>
    <w:rsid w:val="009E4C36"/>
    <w:rsid w:val="00A21193"/>
    <w:rsid w:val="00A33F0D"/>
    <w:rsid w:val="00A36B42"/>
    <w:rsid w:val="00A6673A"/>
    <w:rsid w:val="00AA3DF9"/>
    <w:rsid w:val="00AD7F72"/>
    <w:rsid w:val="00B400C0"/>
    <w:rsid w:val="00B84291"/>
    <w:rsid w:val="00BA08E1"/>
    <w:rsid w:val="00BC39E2"/>
    <w:rsid w:val="00BE29B8"/>
    <w:rsid w:val="00BE4997"/>
    <w:rsid w:val="00BF1691"/>
    <w:rsid w:val="00BF63A4"/>
    <w:rsid w:val="00BF6FE5"/>
    <w:rsid w:val="00CB3119"/>
    <w:rsid w:val="00CD423D"/>
    <w:rsid w:val="00D2437D"/>
    <w:rsid w:val="00D2747A"/>
    <w:rsid w:val="00D35127"/>
    <w:rsid w:val="00D81FDD"/>
    <w:rsid w:val="00DC2364"/>
    <w:rsid w:val="00DD0AD7"/>
    <w:rsid w:val="00E14A81"/>
    <w:rsid w:val="00E54369"/>
    <w:rsid w:val="00EC3848"/>
    <w:rsid w:val="00EF3C09"/>
    <w:rsid w:val="00EF5EB6"/>
    <w:rsid w:val="00F02DA4"/>
    <w:rsid w:val="00F02E5D"/>
    <w:rsid w:val="00F12A0E"/>
    <w:rsid w:val="00F340DC"/>
    <w:rsid w:val="00F558AD"/>
    <w:rsid w:val="00F82B32"/>
    <w:rsid w:val="00F85F96"/>
    <w:rsid w:val="00F87905"/>
    <w:rsid w:val="00FC0A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5352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2022-05-16T10:55:00Z</cp:lastPrinted>
  <dcterms:created xsi:type="dcterms:W3CDTF">2023-10-01T18:51:00Z</dcterms:created>
  <dcterms:modified xsi:type="dcterms:W3CDTF">2023-10-01T18:51:00Z</dcterms:modified>
</cp:coreProperties>
</file>