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D" w:rsidRPr="001C3EDB" w:rsidRDefault="0072368D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72368D" w:rsidRPr="003305C4" w:rsidRDefault="0072368D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72368D" w:rsidRPr="003305C4" w:rsidRDefault="0072368D" w:rsidP="004C0125"/>
        </w:tc>
        <w:tc>
          <w:tcPr>
            <w:tcW w:w="5344" w:type="dxa"/>
            <w:vAlign w:val="center"/>
          </w:tcPr>
          <w:p w:rsidR="0072368D" w:rsidRPr="00E242CF" w:rsidRDefault="0072368D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72368D" w:rsidRPr="00732ABD" w:rsidTr="003E6D19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72368D" w:rsidRDefault="0072368D" w:rsidP="00E242CF">
            <w:pPr>
              <w:rPr>
                <w:lang w:val="en-US" w:eastAsia="zh-CN"/>
              </w:rPr>
            </w:pPr>
            <w:proofErr w:type="spellStart"/>
            <w:r w:rsidRPr="00732ABD">
              <w:rPr>
                <w:lang w:val="en-US" w:eastAsia="zh-CN"/>
              </w:rPr>
              <w:t>Psychoeducational</w:t>
            </w:r>
            <w:proofErr w:type="spellEnd"/>
            <w:r w:rsidRPr="00732ABD">
              <w:rPr>
                <w:lang w:val="en-US" w:eastAsia="zh-CN"/>
              </w:rPr>
              <w:t xml:space="preserve"> effects during contact with animal</w:t>
            </w:r>
          </w:p>
          <w:p w:rsidR="0072368D" w:rsidRPr="00732ABD" w:rsidRDefault="0072368D" w:rsidP="00E242CF">
            <w:proofErr w:type="spellStart"/>
            <w:r>
              <w:rPr>
                <w:lang w:eastAsia="zh-CN"/>
              </w:rPr>
              <w:t>Psychoedukacyjne</w:t>
            </w:r>
            <w:proofErr w:type="spellEnd"/>
            <w:r>
              <w:rPr>
                <w:lang w:eastAsia="zh-CN"/>
              </w:rPr>
              <w:t xml:space="preserve"> oddziaływanie podczas kontaktu ze zwierzęciem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72368D" w:rsidRPr="003305C4" w:rsidRDefault="0072368D" w:rsidP="00E242CF"/>
        </w:tc>
        <w:tc>
          <w:tcPr>
            <w:tcW w:w="5344" w:type="dxa"/>
            <w:vAlign w:val="center"/>
          </w:tcPr>
          <w:p w:rsidR="0072368D" w:rsidRPr="003305C4" w:rsidRDefault="0072368D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72368D" w:rsidRPr="003305C4" w:rsidRDefault="0072368D" w:rsidP="00E242CF"/>
        </w:tc>
        <w:tc>
          <w:tcPr>
            <w:tcW w:w="5344" w:type="dxa"/>
            <w:vAlign w:val="center"/>
          </w:tcPr>
          <w:p w:rsidR="0072368D" w:rsidRPr="003305C4" w:rsidRDefault="0072368D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72368D" w:rsidRPr="003305C4" w:rsidRDefault="0072368D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72368D" w:rsidRPr="003305C4" w:rsidRDefault="0072368D" w:rsidP="00E242CF"/>
        </w:tc>
        <w:tc>
          <w:tcPr>
            <w:tcW w:w="5344" w:type="dxa"/>
            <w:vAlign w:val="center"/>
          </w:tcPr>
          <w:p w:rsidR="0072368D" w:rsidRPr="003305C4" w:rsidRDefault="0072368D" w:rsidP="00E242CF">
            <w:r w:rsidRPr="00EE643F">
              <w:rPr>
                <w:strike/>
                <w:sz w:val="22"/>
                <w:szCs w:val="22"/>
              </w:rPr>
              <w:t>stacjonarne</w:t>
            </w:r>
            <w:r w:rsidRPr="00EE643F">
              <w:rPr>
                <w:sz w:val="22"/>
                <w:szCs w:val="22"/>
              </w:rPr>
              <w:t>/niestacjonarne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72368D" w:rsidRPr="003305C4" w:rsidRDefault="0072368D" w:rsidP="00E242CF">
            <w:r>
              <w:rPr>
                <w:sz w:val="22"/>
                <w:szCs w:val="22"/>
              </w:rPr>
              <w:t>II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72368D" w:rsidRPr="003305C4" w:rsidRDefault="0072368D" w:rsidP="00E242CF">
            <w:r>
              <w:rPr>
                <w:sz w:val="22"/>
                <w:szCs w:val="22"/>
              </w:rPr>
              <w:t>3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72368D" w:rsidRPr="00636908" w:rsidRDefault="0072368D" w:rsidP="00636908">
            <w:pPr>
              <w:rPr>
                <w:iCs/>
                <w:color w:val="000000"/>
              </w:rPr>
            </w:pPr>
            <w:r w:rsidRPr="00636908">
              <w:rPr>
                <w:iCs/>
                <w:color w:val="000000"/>
                <w:sz w:val="22"/>
                <w:szCs w:val="22"/>
              </w:rPr>
              <w:t>1 (0,</w:t>
            </w:r>
            <w:r>
              <w:rPr>
                <w:iCs/>
                <w:color w:val="000000"/>
                <w:sz w:val="22"/>
                <w:szCs w:val="22"/>
              </w:rPr>
              <w:t>36</w:t>
            </w:r>
            <w:r>
              <w:rPr>
                <w:bCs/>
                <w:iCs/>
                <w:color w:val="000000"/>
                <w:sz w:val="22"/>
                <w:szCs w:val="22"/>
              </w:rPr>
              <w:t>/0,64</w:t>
            </w:r>
            <w:r w:rsidRPr="00636908">
              <w:rPr>
                <w:bCs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72368D" w:rsidRPr="003305C4" w:rsidTr="00FD4A22">
        <w:tc>
          <w:tcPr>
            <w:tcW w:w="3942" w:type="dxa"/>
            <w:vAlign w:val="center"/>
          </w:tcPr>
          <w:p w:rsidR="0072368D" w:rsidRPr="003305C4" w:rsidRDefault="0072368D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72368D" w:rsidRPr="00E242CF" w:rsidRDefault="0072368D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72368D" w:rsidRPr="003305C4" w:rsidRDefault="0072368D" w:rsidP="00E242CF"/>
        </w:tc>
        <w:tc>
          <w:tcPr>
            <w:tcW w:w="5344" w:type="dxa"/>
            <w:vAlign w:val="center"/>
          </w:tcPr>
          <w:p w:rsidR="0072368D" w:rsidRPr="00E242CF" w:rsidRDefault="0072368D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72368D" w:rsidRPr="00EE643F" w:rsidTr="003305C4">
        <w:tc>
          <w:tcPr>
            <w:tcW w:w="3942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>Cel modułu</w:t>
            </w:r>
          </w:p>
          <w:p w:rsidR="0072368D" w:rsidRPr="003305C4" w:rsidRDefault="0072368D" w:rsidP="00E242CF"/>
        </w:tc>
        <w:tc>
          <w:tcPr>
            <w:tcW w:w="5344" w:type="dxa"/>
            <w:vAlign w:val="center"/>
          </w:tcPr>
          <w:p w:rsidR="0072368D" w:rsidRPr="00963CB5" w:rsidRDefault="0072368D" w:rsidP="0000585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5D60">
              <w:rPr>
                <w:lang w:val="en-US"/>
              </w:rPr>
              <w:t>The aim o</w:t>
            </w:r>
            <w:r>
              <w:rPr>
                <w:lang w:val="en-US"/>
              </w:rPr>
              <w:t>f the module is to get know</w:t>
            </w:r>
            <w:r w:rsidRPr="008F5D60">
              <w:rPr>
                <w:lang w:val="en-US"/>
              </w:rPr>
              <w:t xml:space="preserve"> about</w:t>
            </w:r>
            <w:r w:rsidRPr="008F5D60">
              <w:rPr>
                <w:rFonts w:cs="Tahoma"/>
                <w:lang w:val="en-US"/>
              </w:rPr>
              <w:t xml:space="preserve"> </w:t>
            </w:r>
            <w:r>
              <w:rPr>
                <w:rFonts w:cs="Tahoma"/>
                <w:lang w:val="en-US"/>
              </w:rPr>
              <w:t xml:space="preserve">issues of animal-assisted therapeutic impact using the knowledge of psychology and </w:t>
            </w:r>
            <w:proofErr w:type="spellStart"/>
            <w:r>
              <w:rPr>
                <w:rFonts w:cs="Tahoma"/>
                <w:lang w:val="en-US"/>
              </w:rPr>
              <w:t>pedagogics</w:t>
            </w:r>
            <w:proofErr w:type="spellEnd"/>
            <w:r>
              <w:rPr>
                <w:rFonts w:cs="Tahoma"/>
                <w:lang w:val="en-US"/>
              </w:rPr>
              <w:t xml:space="preserve"> that can support the therapy of persons with various problems of their mental and physical abilities</w:t>
            </w:r>
          </w:p>
        </w:tc>
      </w:tr>
      <w:tr w:rsidR="0072368D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72368D" w:rsidRPr="003305C4" w:rsidRDefault="0072368D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72368D" w:rsidRPr="003305C4" w:rsidRDefault="0072368D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72368D" w:rsidRPr="00EE643F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2368D" w:rsidRPr="003305C4" w:rsidRDefault="0072368D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72368D" w:rsidRPr="00963CB5" w:rsidRDefault="0072368D" w:rsidP="00636908">
            <w:pPr>
              <w:rPr>
                <w:lang w:val="en-US"/>
              </w:rPr>
            </w:pPr>
            <w:r w:rsidRPr="00963CB5">
              <w:rPr>
                <w:rStyle w:val="hps"/>
                <w:sz w:val="22"/>
                <w:szCs w:val="22"/>
                <w:lang w:val="en-US"/>
              </w:rPr>
              <w:t>W1.</w:t>
            </w:r>
            <w:r w:rsidRPr="00963CB5">
              <w:rPr>
                <w:lang w:val="en-US"/>
              </w:rPr>
              <w:t xml:space="preserve"> </w:t>
            </w:r>
            <w:r w:rsidRPr="00BD0B67">
              <w:rPr>
                <w:lang w:val="en-US"/>
              </w:rPr>
              <w:t xml:space="preserve">Student </w:t>
            </w:r>
            <w:r>
              <w:rPr>
                <w:lang w:val="en-US"/>
              </w:rPr>
              <w:t>understand</w:t>
            </w:r>
            <w:r w:rsidRPr="002334A8">
              <w:rPr>
                <w:lang w:val="en-US"/>
              </w:rPr>
              <w:t xml:space="preserve">s relationship </w:t>
            </w:r>
            <w:r w:rsidRPr="002334A8">
              <w:rPr>
                <w:rFonts w:cs="Tahoma"/>
                <w:lang w:val="en-US"/>
              </w:rPr>
              <w:t xml:space="preserve">between </w:t>
            </w:r>
            <w:r>
              <w:rPr>
                <w:rFonts w:cs="Tahoma"/>
                <w:lang w:val="en-US"/>
              </w:rPr>
              <w:t xml:space="preserve">issues connected with psychology and </w:t>
            </w:r>
            <w:proofErr w:type="spellStart"/>
            <w:r>
              <w:rPr>
                <w:rFonts w:cs="Tahoma"/>
                <w:lang w:val="en-US"/>
              </w:rPr>
              <w:t>pedagogics</w:t>
            </w:r>
            <w:proofErr w:type="spellEnd"/>
            <w:r>
              <w:rPr>
                <w:rFonts w:cs="Tahoma"/>
                <w:lang w:val="en-US"/>
              </w:rPr>
              <w:t xml:space="preserve"> and possibilities of animal-assisted therapeutic impact</w:t>
            </w:r>
          </w:p>
        </w:tc>
      </w:tr>
      <w:tr w:rsidR="0072368D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2368D" w:rsidRPr="00963CB5" w:rsidRDefault="0072368D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72368D" w:rsidRPr="003305C4" w:rsidRDefault="0072368D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72368D" w:rsidRPr="00EE643F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2368D" w:rsidRPr="003305C4" w:rsidRDefault="0072368D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72368D" w:rsidRPr="00963CB5" w:rsidRDefault="0072368D" w:rsidP="001D5C8C">
            <w:pPr>
              <w:jc w:val="both"/>
              <w:rPr>
                <w:lang w:val="en-US"/>
              </w:rPr>
            </w:pPr>
            <w:r w:rsidRPr="00963CB5">
              <w:rPr>
                <w:sz w:val="22"/>
                <w:szCs w:val="22"/>
                <w:lang w:val="en-US"/>
              </w:rPr>
              <w:t xml:space="preserve">U1. </w:t>
            </w:r>
            <w:r w:rsidRPr="00BD0B67">
              <w:rPr>
                <w:lang w:val="en-US"/>
              </w:rPr>
              <w:t xml:space="preserve">Student is able to </w:t>
            </w:r>
            <w:r>
              <w:rPr>
                <w:lang w:val="en-US"/>
              </w:rPr>
              <w:t>design selected forms of activity connected with exercises and playing in the presence of the animal and the therapist</w:t>
            </w:r>
          </w:p>
        </w:tc>
      </w:tr>
      <w:tr w:rsidR="0072368D" w:rsidRPr="00EE643F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2368D" w:rsidRPr="00963CB5" w:rsidRDefault="0072368D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72368D" w:rsidRPr="00963CB5" w:rsidRDefault="0072368D" w:rsidP="001D5C8C">
            <w:pPr>
              <w:jc w:val="both"/>
              <w:rPr>
                <w:lang w:val="en-US"/>
              </w:rPr>
            </w:pPr>
            <w:r w:rsidRPr="00963CB5">
              <w:rPr>
                <w:lang w:val="en-US"/>
              </w:rPr>
              <w:t xml:space="preserve">U2. </w:t>
            </w:r>
            <w:r w:rsidRPr="00BD0B67">
              <w:rPr>
                <w:lang w:val="en-US"/>
              </w:rPr>
              <w:t>Student is able to prepare and present the project  dealing with</w:t>
            </w:r>
            <w:r>
              <w:rPr>
                <w:lang w:val="en-US"/>
              </w:rPr>
              <w:t xml:space="preserve"> selected issues connected with animal-assisted therapy based on available references</w:t>
            </w:r>
          </w:p>
        </w:tc>
      </w:tr>
      <w:tr w:rsidR="0072368D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2368D" w:rsidRPr="00963CB5" w:rsidRDefault="0072368D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72368D" w:rsidRPr="003305C4" w:rsidRDefault="0072368D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72368D" w:rsidRPr="00EE643F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2368D" w:rsidRPr="003305C4" w:rsidRDefault="0072368D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72368D" w:rsidRPr="00963CB5" w:rsidRDefault="0072368D" w:rsidP="001D5C8C">
            <w:pPr>
              <w:jc w:val="both"/>
              <w:rPr>
                <w:lang w:val="en-US"/>
              </w:rPr>
            </w:pPr>
            <w:r w:rsidRPr="00963CB5">
              <w:rPr>
                <w:sz w:val="22"/>
                <w:szCs w:val="22"/>
                <w:lang w:val="en-US"/>
              </w:rPr>
              <w:t>K1.</w:t>
            </w:r>
            <w:r w:rsidRPr="00963CB5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Student understand</w:t>
            </w:r>
            <w:r w:rsidRPr="00536A91">
              <w:rPr>
                <w:lang w:val="en-US"/>
              </w:rPr>
              <w:t>s the need of self-learning and using available sources of references to update their knowledge</w:t>
            </w:r>
          </w:p>
        </w:tc>
      </w:tr>
      <w:tr w:rsidR="0072368D" w:rsidRPr="003305C4" w:rsidTr="00BB4DA4">
        <w:tc>
          <w:tcPr>
            <w:tcW w:w="3942" w:type="dxa"/>
            <w:vAlign w:val="center"/>
          </w:tcPr>
          <w:p w:rsidR="0072368D" w:rsidRPr="003305C4" w:rsidRDefault="0072368D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72368D" w:rsidRPr="001C3EDB" w:rsidRDefault="0072368D" w:rsidP="00EA658A">
            <w:pPr>
              <w:jc w:val="both"/>
            </w:pPr>
            <w:r>
              <w:t>-</w:t>
            </w:r>
          </w:p>
        </w:tc>
      </w:tr>
      <w:tr w:rsidR="0072368D" w:rsidRPr="00EE643F" w:rsidTr="003305C4">
        <w:tc>
          <w:tcPr>
            <w:tcW w:w="3942" w:type="dxa"/>
            <w:vAlign w:val="center"/>
          </w:tcPr>
          <w:p w:rsidR="0072368D" w:rsidRPr="003305C4" w:rsidRDefault="0072368D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72368D" w:rsidRPr="003305C4" w:rsidRDefault="0072368D" w:rsidP="00EA658A"/>
        </w:tc>
        <w:tc>
          <w:tcPr>
            <w:tcW w:w="5344" w:type="dxa"/>
            <w:vAlign w:val="center"/>
          </w:tcPr>
          <w:p w:rsidR="0072368D" w:rsidRPr="00963CB5" w:rsidRDefault="0072368D" w:rsidP="009A5CAC">
            <w:pPr>
              <w:jc w:val="both"/>
              <w:rPr>
                <w:lang w:val="en-US"/>
              </w:rPr>
            </w:pPr>
            <w:r w:rsidRPr="003B3EA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module deals with the </w:t>
            </w:r>
            <w:r w:rsidRPr="003B3EA8">
              <w:rPr>
                <w:lang w:val="en-US"/>
              </w:rPr>
              <w:t>iss</w:t>
            </w:r>
            <w:r>
              <w:rPr>
                <w:lang w:val="en-US"/>
              </w:rPr>
              <w:t xml:space="preserve">ues connected with traits of human development, problems of mental and sensory disabilities, rules of work with </w:t>
            </w:r>
            <w:r>
              <w:rPr>
                <w:lang w:val="en-US"/>
              </w:rPr>
              <w:lastRenderedPageBreak/>
              <w:t>intellectually disabled patients</w:t>
            </w:r>
            <w:r w:rsidRPr="003B3EA8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The importance of motor and verbal improvement as well as improvement of sensory integration will be underlined.</w:t>
            </w:r>
            <w:r w:rsidRPr="00293B7D">
              <w:rPr>
                <w:lang w:val="en-US"/>
              </w:rPr>
              <w:t xml:space="preserve"> </w:t>
            </w:r>
            <w:r w:rsidRPr="00FD1E74">
              <w:rPr>
                <w:lang w:val="en-US"/>
              </w:rPr>
              <w:t>The module content includes</w:t>
            </w:r>
            <w:r>
              <w:rPr>
                <w:lang w:val="en-US"/>
              </w:rPr>
              <w:t xml:space="preserve"> forming of social, teamwork skills during therapy close to an animal as well as using elements of psychotherapy during animal-assisted therapy. The issues such as the role of playing in animal-assisted therapy and importance of animal during playing are also included.</w:t>
            </w:r>
          </w:p>
        </w:tc>
      </w:tr>
      <w:tr w:rsidR="0072368D" w:rsidRPr="003305C4" w:rsidTr="003305C4">
        <w:tc>
          <w:tcPr>
            <w:tcW w:w="3942" w:type="dxa"/>
            <w:vAlign w:val="center"/>
          </w:tcPr>
          <w:p w:rsidR="0072368D" w:rsidRPr="003305C4" w:rsidRDefault="0072368D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5273A2" w:rsidRPr="00637629" w:rsidRDefault="005273A2" w:rsidP="005273A2">
            <w:pPr>
              <w:rPr>
                <w:i/>
              </w:rPr>
            </w:pPr>
            <w:r w:rsidRPr="00637629">
              <w:rPr>
                <w:i/>
                <w:sz w:val="22"/>
                <w:szCs w:val="22"/>
              </w:rPr>
              <w:t xml:space="preserve">Basic </w:t>
            </w:r>
            <w:proofErr w:type="spellStart"/>
            <w:r w:rsidRPr="00637629">
              <w:rPr>
                <w:i/>
                <w:sz w:val="22"/>
                <w:szCs w:val="22"/>
              </w:rPr>
              <w:t>references</w:t>
            </w:r>
            <w:proofErr w:type="spellEnd"/>
            <w:r w:rsidRPr="00637629">
              <w:rPr>
                <w:i/>
                <w:sz w:val="22"/>
                <w:szCs w:val="22"/>
              </w:rPr>
              <w:t>:</w:t>
            </w:r>
          </w:p>
          <w:p w:rsidR="005273A2" w:rsidRPr="008C4AB9" w:rsidRDefault="005273A2" w:rsidP="005273A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Strumińska A.: Psychopedagogiczne aspekty hipoterapii dzieci i młodzieży</w:t>
            </w:r>
          </w:p>
          <w:p w:rsidR="005273A2" w:rsidRPr="008C4AB9" w:rsidRDefault="005273A2" w:rsidP="005273A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niepełnosprawnych intelektualnie. Państwowe Wydawnictwo Rolnicze i Leśne, Warszawa 2007.</w:t>
            </w:r>
          </w:p>
          <w:p w:rsidR="005273A2" w:rsidRDefault="005273A2" w:rsidP="005273A2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Recommended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5273A2" w:rsidRDefault="005273A2" w:rsidP="005273A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</w:rPr>
              <w:t>Heipertz-Hengst</w:t>
            </w:r>
            <w:proofErr w:type="spellEnd"/>
            <w:r w:rsidRPr="008C4AB9">
              <w:rPr>
                <w:rFonts w:cs="TimesNewRomanPSMT"/>
              </w:rPr>
              <w:t xml:space="preserve"> </w:t>
            </w:r>
            <w:proofErr w:type="spellStart"/>
            <w:r w:rsidRPr="008C4AB9">
              <w:rPr>
                <w:rFonts w:cs="TimesNewRomanPSMT"/>
              </w:rPr>
              <w:t>Ch</w:t>
            </w:r>
            <w:proofErr w:type="spellEnd"/>
            <w:r w:rsidRPr="008C4AB9">
              <w:rPr>
                <w:rFonts w:cs="TimesNewRomanPSMT"/>
              </w:rPr>
              <w:t>.: Jazda ko</w:t>
            </w:r>
            <w:r>
              <w:rPr>
                <w:rFonts w:cs="TimesNewRomanPSMT"/>
              </w:rPr>
              <w:t>nna dla osób niepełnosprawnych.</w:t>
            </w:r>
            <w:r w:rsidRPr="008C4AB9">
              <w:rPr>
                <w:rFonts w:cs="TimesNewRomanPSMT"/>
              </w:rPr>
              <w:t xml:space="preserve"> Państwowe Wydawnictwo Rolnicze i Leśne, Warszawa 1997.</w:t>
            </w:r>
          </w:p>
          <w:p w:rsidR="005273A2" w:rsidRPr="008C4AB9" w:rsidRDefault="005273A2" w:rsidP="005273A2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  <w:lang w:val="de-DE"/>
              </w:rPr>
              <w:t>Strau</w:t>
            </w:r>
            <w:proofErr w:type="spellEnd"/>
            <w:r w:rsidRPr="008C4AB9">
              <w:rPr>
                <w:rFonts w:cs="TimesNewRomanPSMT"/>
                <w:lang w:val="de-DE"/>
              </w:rPr>
              <w:t>ẞ I.: Hippotherapie. Physiotherapie mit und auf dem Pferd (</w:t>
            </w:r>
            <w:proofErr w:type="spellStart"/>
            <w:r w:rsidRPr="008C4AB9">
              <w:rPr>
                <w:rFonts w:cs="TimesNewRomanPSMT"/>
                <w:lang w:val="de-DE"/>
              </w:rPr>
              <w:t>Hipoterapia</w:t>
            </w:r>
            <w:proofErr w:type="spellEnd"/>
            <w:r w:rsidRPr="008C4AB9">
              <w:rPr>
                <w:rFonts w:cs="TimesNewRomanPSMT"/>
                <w:lang w:val="de-DE"/>
              </w:rPr>
              <w:t xml:space="preserve">. </w:t>
            </w:r>
            <w:r w:rsidRPr="008C4AB9">
              <w:rPr>
                <w:rFonts w:cs="TimesNewRomanPSMT"/>
              </w:rPr>
              <w:t>Fizjoterapia na koniu i przy koniu). Fundacja Hipoterapia - Na Rzecz Rehabilitacji Dzieci Niepełnosprawnych, Kraków 2012.</w:t>
            </w:r>
          </w:p>
          <w:p w:rsidR="0072368D" w:rsidRPr="00636908" w:rsidRDefault="005273A2" w:rsidP="005273A2">
            <w:r>
              <w:rPr>
                <w:rFonts w:cs="TimesNewRomanPSMT"/>
              </w:rPr>
              <w:t xml:space="preserve">doniesienia konferencyjne / artykuły </w:t>
            </w:r>
            <w:r w:rsidRPr="008C4AB9">
              <w:rPr>
                <w:rFonts w:cs="TimesNewRomanPSMT"/>
              </w:rPr>
              <w:t>dostępne w czasopismach naukowych</w:t>
            </w:r>
          </w:p>
        </w:tc>
      </w:tr>
      <w:tr w:rsidR="0072368D" w:rsidRPr="00EE643F" w:rsidTr="003305C4">
        <w:tc>
          <w:tcPr>
            <w:tcW w:w="3942" w:type="dxa"/>
            <w:vAlign w:val="center"/>
          </w:tcPr>
          <w:p w:rsidR="0072368D" w:rsidRPr="003305C4" w:rsidRDefault="0072368D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72368D" w:rsidRPr="00055C3F" w:rsidRDefault="0072368D" w:rsidP="008171A0">
            <w:pPr>
              <w:rPr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Lecture,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>
              <w:rPr>
                <w:rFonts w:cs="Tahoma"/>
                <w:szCs w:val="20"/>
                <w:lang w:val="en-US"/>
              </w:rPr>
              <w:t>,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  <w:r w:rsidRPr="00216C8F">
              <w:rPr>
                <w:rFonts w:cs="Tahoma"/>
                <w:szCs w:val="20"/>
                <w:lang w:val="en-US"/>
              </w:rPr>
              <w:t>writing test</w:t>
            </w:r>
          </w:p>
        </w:tc>
      </w:tr>
      <w:tr w:rsidR="0072368D" w:rsidRPr="00EE643F" w:rsidTr="003305C4">
        <w:tc>
          <w:tcPr>
            <w:tcW w:w="3942" w:type="dxa"/>
            <w:vAlign w:val="center"/>
          </w:tcPr>
          <w:p w:rsidR="0072368D" w:rsidRPr="003305C4" w:rsidRDefault="0072368D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72368D" w:rsidRPr="00055C3F" w:rsidRDefault="0072368D" w:rsidP="008171A0">
            <w:pPr>
              <w:jc w:val="both"/>
              <w:rPr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 xml:space="preserve">writing </w:t>
            </w:r>
            <w:r w:rsidRPr="00216C8F">
              <w:rPr>
                <w:rFonts w:cs="Tahoma"/>
                <w:szCs w:val="20"/>
                <w:lang w:val="en-US"/>
              </w:rPr>
              <w:t xml:space="preserve">test, </w:t>
            </w:r>
            <w:r>
              <w:rPr>
                <w:rFonts w:cs="Tahoma"/>
                <w:szCs w:val="20"/>
                <w:lang w:val="en-US"/>
              </w:rPr>
              <w:t xml:space="preserve">assessment of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</w:p>
          <w:p w:rsidR="0072368D" w:rsidRPr="00055C3F" w:rsidRDefault="0072368D" w:rsidP="008171A0">
            <w:pPr>
              <w:rPr>
                <w:lang w:val="en-US"/>
              </w:rPr>
            </w:pPr>
          </w:p>
          <w:p w:rsidR="0072368D" w:rsidRPr="00055C3F" w:rsidRDefault="0072368D" w:rsidP="008171A0">
            <w:pPr>
              <w:rPr>
                <w:u w:val="single"/>
                <w:lang w:val="en-US"/>
              </w:rPr>
            </w:pPr>
            <w:r w:rsidRPr="00055C3F">
              <w:rPr>
                <w:sz w:val="22"/>
                <w:szCs w:val="22"/>
                <w:u w:val="single"/>
                <w:lang w:val="en-US"/>
              </w:rPr>
              <w:t>SPOSOBY WERYFIKACJI:</w:t>
            </w:r>
          </w:p>
          <w:p w:rsidR="0072368D" w:rsidRPr="00055C3F" w:rsidRDefault="0072368D" w:rsidP="008171A0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W1</w:t>
            </w:r>
            <w:r w:rsidRPr="00055C3F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rFonts w:cs="Tahoma"/>
                <w:szCs w:val="20"/>
                <w:lang w:val="en-US"/>
              </w:rPr>
              <w:t xml:space="preserve">writing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</w:p>
          <w:p w:rsidR="0072368D" w:rsidRDefault="0072368D" w:rsidP="008171A0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5C3F">
              <w:rPr>
                <w:rFonts w:ascii="Times New Roman" w:hAnsi="Times New Roman"/>
                <w:sz w:val="22"/>
                <w:szCs w:val="22"/>
                <w:lang w:val="en-US"/>
              </w:rPr>
              <w:t>U1 –</w:t>
            </w:r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</w:t>
            </w:r>
            <w:proofErr w:type="spellStart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>presentating</w:t>
            </w:r>
            <w:proofErr w:type="spellEnd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student project</w:t>
            </w:r>
          </w:p>
          <w:p w:rsidR="005273A2" w:rsidRPr="00055C3F" w:rsidRDefault="005273A2" w:rsidP="008171A0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U2</w:t>
            </w:r>
            <w:r w:rsidRPr="00055C3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</w:t>
            </w:r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</w:t>
            </w:r>
            <w:proofErr w:type="spellStart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>presentating</w:t>
            </w:r>
            <w:proofErr w:type="spellEnd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student project</w:t>
            </w:r>
          </w:p>
          <w:p w:rsidR="0072368D" w:rsidRPr="00055C3F" w:rsidRDefault="0072368D" w:rsidP="008171A0">
            <w:pPr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K1 – </w:t>
            </w:r>
            <w:r w:rsidRPr="004F3F9B">
              <w:rPr>
                <w:sz w:val="22"/>
                <w:szCs w:val="22"/>
                <w:lang w:val="en-US"/>
              </w:rPr>
              <w:t xml:space="preserve">assessment of preparing  and  computer </w:t>
            </w:r>
            <w:proofErr w:type="spellStart"/>
            <w:r w:rsidRPr="004F3F9B">
              <w:rPr>
                <w:sz w:val="22"/>
                <w:szCs w:val="22"/>
                <w:lang w:val="en-US"/>
              </w:rPr>
              <w:t>presentating</w:t>
            </w:r>
            <w:proofErr w:type="spellEnd"/>
            <w:r w:rsidRPr="004F3F9B">
              <w:rPr>
                <w:sz w:val="22"/>
                <w:szCs w:val="22"/>
                <w:lang w:val="en-US"/>
              </w:rPr>
              <w:t xml:space="preserve"> student project</w:t>
            </w:r>
          </w:p>
          <w:p w:rsidR="0072368D" w:rsidRPr="00055C3F" w:rsidRDefault="0072368D" w:rsidP="008171A0">
            <w:pPr>
              <w:rPr>
                <w:color w:val="FF0000"/>
                <w:lang w:val="en-US"/>
              </w:rPr>
            </w:pPr>
          </w:p>
          <w:p w:rsidR="0072368D" w:rsidRPr="00E10379" w:rsidRDefault="0072368D" w:rsidP="008171A0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 xml:space="preserve">w formie: prace etapowe: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projects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>- archiwizowanie w formie papierowej lub cyfrowej.</w:t>
            </w:r>
          </w:p>
          <w:p w:rsidR="0072368D" w:rsidRPr="00E10379" w:rsidRDefault="0072368D" w:rsidP="008171A0"/>
          <w:p w:rsidR="0072368D" w:rsidRPr="006C08EB" w:rsidRDefault="0072368D" w:rsidP="008171A0">
            <w:pPr>
              <w:shd w:val="clear" w:color="auto" w:fill="FFFFFF"/>
            </w:pPr>
            <w:proofErr w:type="spellStart"/>
            <w:r w:rsidRPr="006C08EB">
              <w:t>Criteria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used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during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assessment</w:t>
            </w:r>
            <w:proofErr w:type="spellEnd"/>
            <w:r w:rsidRPr="006C08EB">
              <w:t>:</w:t>
            </w:r>
          </w:p>
          <w:p w:rsidR="0072368D" w:rsidRPr="006C08EB" w:rsidRDefault="0072368D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(3.0) level of knowledge or skills, when receives from 51 to 60% of sum of points describing maximal level of knowledge or skills in particular course </w:t>
            </w:r>
          </w:p>
          <w:p w:rsidR="0072368D" w:rsidRPr="006C08EB" w:rsidRDefault="0072368D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plus (3.5) level of knowledge or skills, when receives from 61 to </w:t>
            </w:r>
            <w:r w:rsidRPr="006C08EB">
              <w:rPr>
                <w:lang w:val="en-US"/>
              </w:rPr>
              <w:lastRenderedPageBreak/>
              <w:t xml:space="preserve">70% of sum of points describing maximal level of knowledge or skills in particular course </w:t>
            </w:r>
          </w:p>
          <w:p w:rsidR="0072368D" w:rsidRPr="006C08EB" w:rsidRDefault="0072368D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(4.0) level of knowledge or skills, when receives from 71 to 80% of sum of points describing maximal level of knowledge or skills in particular course </w:t>
            </w:r>
          </w:p>
          <w:p w:rsidR="0072368D" w:rsidRPr="006C08EB" w:rsidRDefault="0072368D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plus (4.5) level of knowledge or skills, when receives from 81 to 90% of sum of points describing maximal level of knowledge or skills in particular course </w:t>
            </w:r>
          </w:p>
          <w:p w:rsidR="0072368D" w:rsidRPr="006C08EB" w:rsidRDefault="0072368D" w:rsidP="008171A0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very good (5.0) level of knowledge or skills, when receives more than 91% of sum of points describing maximal level of knowledge or skills in particular course </w:t>
            </w:r>
          </w:p>
          <w:p w:rsidR="0072368D" w:rsidRPr="00055C3F" w:rsidRDefault="0072368D" w:rsidP="008171A0">
            <w:pPr>
              <w:jc w:val="both"/>
              <w:rPr>
                <w:color w:val="FF0000"/>
                <w:lang w:val="en-US"/>
              </w:rPr>
            </w:pPr>
          </w:p>
        </w:tc>
      </w:tr>
      <w:tr w:rsidR="0072368D" w:rsidRPr="00EE643F" w:rsidTr="003305C4">
        <w:tc>
          <w:tcPr>
            <w:tcW w:w="3942" w:type="dxa"/>
            <w:vAlign w:val="center"/>
          </w:tcPr>
          <w:p w:rsidR="0072368D" w:rsidRPr="003305C4" w:rsidRDefault="0072368D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72368D" w:rsidRPr="003305C4" w:rsidRDefault="0072368D" w:rsidP="00EA658A"/>
          <w:p w:rsidR="0072368D" w:rsidRPr="003305C4" w:rsidRDefault="0072368D" w:rsidP="00EA658A"/>
        </w:tc>
        <w:tc>
          <w:tcPr>
            <w:tcW w:w="5344" w:type="dxa"/>
            <w:vAlign w:val="center"/>
          </w:tcPr>
          <w:p w:rsidR="0072368D" w:rsidRPr="00E10379" w:rsidRDefault="0072368D" w:rsidP="008171A0">
            <w:pPr>
              <w:jc w:val="both"/>
            </w:pPr>
          </w:p>
          <w:p w:rsidR="0072368D" w:rsidRPr="00055C3F" w:rsidRDefault="0072368D" w:rsidP="008171A0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>Final mark is influ</w:t>
            </w:r>
            <w:r>
              <w:rPr>
                <w:sz w:val="22"/>
                <w:szCs w:val="22"/>
                <w:lang w:val="en-US"/>
              </w:rPr>
              <w:t>enced by mean mark of projects (50%) and mark of writing test</w:t>
            </w:r>
            <w:r w:rsidRPr="00055C3F">
              <w:rPr>
                <w:sz w:val="22"/>
                <w:szCs w:val="22"/>
                <w:lang w:val="en-US"/>
              </w:rPr>
              <w:t xml:space="preserve"> (50%). These conditions are presented and discussed with students during first lecture. </w:t>
            </w:r>
          </w:p>
          <w:p w:rsidR="0072368D" w:rsidRPr="00055C3F" w:rsidRDefault="0072368D" w:rsidP="008171A0">
            <w:pPr>
              <w:jc w:val="both"/>
              <w:rPr>
                <w:color w:val="FF0000"/>
                <w:lang w:val="en-US"/>
              </w:rPr>
            </w:pPr>
          </w:p>
        </w:tc>
      </w:tr>
      <w:tr w:rsidR="0072368D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72368D" w:rsidRPr="003305C4" w:rsidRDefault="0072368D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72368D" w:rsidRPr="00EE643F" w:rsidRDefault="0072368D" w:rsidP="00EA658A">
            <w:pPr>
              <w:rPr>
                <w:color w:val="000000"/>
                <w:lang w:val="en-US"/>
              </w:rPr>
            </w:pPr>
            <w:proofErr w:type="spellStart"/>
            <w:r w:rsidRPr="00EE643F">
              <w:rPr>
                <w:color w:val="000000"/>
                <w:sz w:val="22"/>
                <w:szCs w:val="22"/>
                <w:lang w:val="en-US"/>
              </w:rPr>
              <w:t>Formy</w:t>
            </w:r>
            <w:proofErr w:type="spellEnd"/>
            <w:r w:rsidRPr="00EE643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643F">
              <w:rPr>
                <w:color w:val="000000"/>
                <w:sz w:val="22"/>
                <w:szCs w:val="22"/>
                <w:lang w:val="en-US"/>
              </w:rPr>
              <w:t>zajęć</w:t>
            </w:r>
            <w:proofErr w:type="spellEnd"/>
            <w:r w:rsidRPr="00EE643F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72368D" w:rsidRPr="00EE643F" w:rsidRDefault="0072368D" w:rsidP="00EA658A">
            <w:pPr>
              <w:rPr>
                <w:color w:val="000000"/>
                <w:lang w:val="en-US"/>
              </w:rPr>
            </w:pPr>
            <w:r w:rsidRPr="00EE643F">
              <w:rPr>
                <w:b/>
                <w:color w:val="000000"/>
                <w:sz w:val="22"/>
                <w:szCs w:val="22"/>
                <w:lang w:val="en-US"/>
              </w:rPr>
              <w:t>Contact</w:t>
            </w:r>
          </w:p>
          <w:p w:rsidR="0072368D" w:rsidRPr="000B1F0C" w:rsidRDefault="0072368D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lectures (9 h/0,36</w:t>
            </w:r>
            <w:r w:rsidRPr="000B1F0C">
              <w:rPr>
                <w:color w:val="000000"/>
                <w:sz w:val="22"/>
                <w:szCs w:val="22"/>
                <w:lang w:val="en-US"/>
              </w:rPr>
              <w:t xml:space="preserve"> ECTS), </w:t>
            </w:r>
          </w:p>
          <w:p w:rsidR="0072368D" w:rsidRPr="000B1F0C" w:rsidRDefault="0072368D" w:rsidP="00EA658A">
            <w:pPr>
              <w:ind w:left="12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Total – 9 h/0,36</w:t>
            </w:r>
            <w:r w:rsidRPr="000B1F0C">
              <w:rPr>
                <w:color w:val="000000"/>
                <w:sz w:val="22"/>
                <w:szCs w:val="22"/>
                <w:lang w:val="en-US"/>
              </w:rPr>
              <w:t xml:space="preserve"> ECTS</w:t>
            </w:r>
          </w:p>
          <w:p w:rsidR="0072368D" w:rsidRPr="000B1F0C" w:rsidRDefault="0072368D" w:rsidP="00EA658A">
            <w:pPr>
              <w:rPr>
                <w:b/>
                <w:color w:val="000000"/>
                <w:lang w:val="en-US"/>
              </w:rPr>
            </w:pPr>
          </w:p>
          <w:p w:rsidR="0072368D" w:rsidRPr="000B1F0C" w:rsidRDefault="0072368D" w:rsidP="00EA658A">
            <w:pPr>
              <w:rPr>
                <w:b/>
                <w:color w:val="000000"/>
                <w:lang w:val="en-US"/>
              </w:rPr>
            </w:pPr>
            <w:r w:rsidRPr="000B1F0C">
              <w:rPr>
                <w:b/>
                <w:color w:val="000000"/>
                <w:sz w:val="22"/>
                <w:szCs w:val="22"/>
                <w:lang w:val="en-US"/>
              </w:rPr>
              <w:t>Non-contact</w:t>
            </w:r>
          </w:p>
          <w:p w:rsidR="0072368D" w:rsidRPr="000B1F0C" w:rsidRDefault="0072368D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055C3F">
              <w:rPr>
                <w:lang w:val="en-US"/>
              </w:rPr>
              <w:t>preparing for projects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(16 h/0,64</w:t>
            </w:r>
            <w:r w:rsidRPr="000B1F0C">
              <w:rPr>
                <w:color w:val="000000"/>
                <w:sz w:val="22"/>
                <w:szCs w:val="22"/>
                <w:lang w:val="en-US"/>
              </w:rPr>
              <w:t xml:space="preserve"> ECTS),</w:t>
            </w:r>
          </w:p>
          <w:p w:rsidR="0072368D" w:rsidRPr="00C878CC" w:rsidRDefault="0072368D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Total 16 h/0,64</w:t>
            </w:r>
            <w:r w:rsidRPr="00C878CC">
              <w:rPr>
                <w:color w:val="000000"/>
                <w:sz w:val="22"/>
                <w:szCs w:val="22"/>
              </w:rPr>
              <w:t xml:space="preserve"> ECTS</w:t>
            </w:r>
          </w:p>
        </w:tc>
      </w:tr>
      <w:tr w:rsidR="0072368D" w:rsidRPr="003305C4" w:rsidTr="003305C4">
        <w:trPr>
          <w:trHeight w:val="718"/>
        </w:trPr>
        <w:tc>
          <w:tcPr>
            <w:tcW w:w="3942" w:type="dxa"/>
            <w:vAlign w:val="center"/>
          </w:tcPr>
          <w:p w:rsidR="0072368D" w:rsidRPr="003305C4" w:rsidRDefault="0072368D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72368D" w:rsidRPr="003305C4" w:rsidRDefault="0072368D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72368D" w:rsidRPr="009E3486" w:rsidRDefault="0072368D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p</w:t>
            </w:r>
            <w:r w:rsidRPr="00055C3F">
              <w:rPr>
                <w:lang w:val="en-US"/>
              </w:rPr>
              <w:t>articipation in lectures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 xml:space="preserve"> 9 h</w:t>
            </w:r>
          </w:p>
        </w:tc>
      </w:tr>
      <w:tr w:rsidR="0072368D" w:rsidRPr="003305C4" w:rsidTr="003305C4">
        <w:trPr>
          <w:trHeight w:val="718"/>
        </w:trPr>
        <w:tc>
          <w:tcPr>
            <w:tcW w:w="3942" w:type="dxa"/>
            <w:vAlign w:val="center"/>
          </w:tcPr>
          <w:p w:rsidR="0072368D" w:rsidRPr="003305C4" w:rsidRDefault="0072368D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72368D" w:rsidRPr="009E3486" w:rsidRDefault="0072368D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5273A2" w:rsidRPr="005273A2" w:rsidRDefault="005273A2" w:rsidP="005273A2">
            <w:r w:rsidRPr="005273A2">
              <w:t>W1 - BZ2_W04</w:t>
            </w:r>
          </w:p>
          <w:p w:rsidR="005273A2" w:rsidRPr="005273A2" w:rsidRDefault="005273A2" w:rsidP="005273A2">
            <w:pPr>
              <w:rPr>
                <w:iCs/>
              </w:rPr>
            </w:pPr>
            <w:r w:rsidRPr="005273A2">
              <w:rPr>
                <w:iCs/>
              </w:rPr>
              <w:t>U1 - BZ2_U01</w:t>
            </w:r>
          </w:p>
          <w:p w:rsidR="005273A2" w:rsidRPr="005273A2" w:rsidRDefault="005273A2" w:rsidP="005273A2">
            <w:pPr>
              <w:rPr>
                <w:iCs/>
              </w:rPr>
            </w:pPr>
            <w:r w:rsidRPr="005273A2">
              <w:rPr>
                <w:iCs/>
              </w:rPr>
              <w:t>U2 - BZ2_U01</w:t>
            </w:r>
          </w:p>
          <w:p w:rsidR="0072368D" w:rsidRPr="00E13859" w:rsidRDefault="005273A2" w:rsidP="005273A2">
            <w:pPr>
              <w:jc w:val="both"/>
              <w:rPr>
                <w:color w:val="000000"/>
              </w:rPr>
            </w:pPr>
            <w:r w:rsidRPr="005273A2">
              <w:rPr>
                <w:iCs/>
              </w:rPr>
              <w:t>K1 - BZ2_K03</w:t>
            </w:r>
          </w:p>
        </w:tc>
      </w:tr>
    </w:tbl>
    <w:p w:rsidR="0072368D" w:rsidRPr="003305C4" w:rsidRDefault="0072368D" w:rsidP="00023A99">
      <w:pPr>
        <w:rPr>
          <w:i/>
          <w:iCs/>
          <w:sz w:val="22"/>
          <w:szCs w:val="22"/>
        </w:rPr>
      </w:pPr>
      <w:bookmarkStart w:id="0" w:name="_GoBack"/>
      <w:bookmarkEnd w:id="0"/>
    </w:p>
    <w:sectPr w:rsidR="0072368D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8B" w:rsidRDefault="0010778B" w:rsidP="008D17BD">
      <w:r>
        <w:separator/>
      </w:r>
    </w:p>
  </w:endnote>
  <w:endnote w:type="continuationSeparator" w:id="0">
    <w:p w:rsidR="0010778B" w:rsidRDefault="0010778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D" w:rsidRDefault="00D049FB">
    <w:pPr>
      <w:pStyle w:val="Stopka"/>
      <w:jc w:val="right"/>
    </w:pPr>
    <w:r w:rsidRPr="00992D17">
      <w:rPr>
        <w:bCs/>
      </w:rPr>
      <w:fldChar w:fldCharType="begin"/>
    </w:r>
    <w:r w:rsidR="0072368D" w:rsidRPr="00992D17">
      <w:rPr>
        <w:bCs/>
      </w:rPr>
      <w:instrText>PAGE</w:instrText>
    </w:r>
    <w:r w:rsidRPr="00992D17">
      <w:rPr>
        <w:bCs/>
      </w:rPr>
      <w:fldChar w:fldCharType="separate"/>
    </w:r>
    <w:r w:rsidR="0076776D">
      <w:rPr>
        <w:bCs/>
        <w:noProof/>
      </w:rPr>
      <w:t>3</w:t>
    </w:r>
    <w:r w:rsidRPr="00992D17">
      <w:rPr>
        <w:bCs/>
      </w:rPr>
      <w:fldChar w:fldCharType="end"/>
    </w:r>
    <w:r w:rsidR="0072368D" w:rsidRPr="00992D17">
      <w:rPr>
        <w:bCs/>
      </w:rPr>
      <w:t>/</w:t>
    </w:r>
    <w:r w:rsidRPr="00992D17">
      <w:rPr>
        <w:bCs/>
      </w:rPr>
      <w:fldChar w:fldCharType="begin"/>
    </w:r>
    <w:r w:rsidR="0072368D" w:rsidRPr="00992D17">
      <w:rPr>
        <w:bCs/>
      </w:rPr>
      <w:instrText>NUMPAGES</w:instrText>
    </w:r>
    <w:r w:rsidRPr="00992D17">
      <w:rPr>
        <w:bCs/>
      </w:rPr>
      <w:fldChar w:fldCharType="separate"/>
    </w:r>
    <w:r w:rsidR="0076776D">
      <w:rPr>
        <w:bCs/>
        <w:noProof/>
      </w:rPr>
      <w:t>3</w:t>
    </w:r>
    <w:r w:rsidRPr="00992D17">
      <w:rPr>
        <w:bCs/>
      </w:rPr>
      <w:fldChar w:fldCharType="end"/>
    </w:r>
  </w:p>
  <w:p w:rsidR="0072368D" w:rsidRDefault="00723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8B" w:rsidRDefault="0010778B" w:rsidP="008D17BD">
      <w:r>
        <w:separator/>
      </w:r>
    </w:p>
  </w:footnote>
  <w:footnote w:type="continuationSeparator" w:id="0">
    <w:p w:rsidR="0010778B" w:rsidRDefault="0010778B" w:rsidP="008D17BD">
      <w:r>
        <w:continuationSeparator/>
      </w:r>
    </w:p>
  </w:footnote>
  <w:footnote w:id="1">
    <w:p w:rsidR="0072368D" w:rsidRDefault="0072368D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8D" w:rsidRPr="00992D17" w:rsidRDefault="0072368D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72368D" w:rsidRPr="00992D17" w:rsidRDefault="0072368D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72368D" w:rsidRPr="00F02E5D" w:rsidRDefault="0072368D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72368D" w:rsidRDefault="007236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55C3F"/>
    <w:rsid w:val="000A243C"/>
    <w:rsid w:val="000A6E77"/>
    <w:rsid w:val="000B1F0C"/>
    <w:rsid w:val="000D45C2"/>
    <w:rsid w:val="000E4000"/>
    <w:rsid w:val="000F587A"/>
    <w:rsid w:val="00101F00"/>
    <w:rsid w:val="0010778B"/>
    <w:rsid w:val="00120398"/>
    <w:rsid w:val="00147E83"/>
    <w:rsid w:val="001A04D3"/>
    <w:rsid w:val="001B2739"/>
    <w:rsid w:val="001C3EDB"/>
    <w:rsid w:val="001D5C8C"/>
    <w:rsid w:val="00206860"/>
    <w:rsid w:val="00207270"/>
    <w:rsid w:val="00216C8F"/>
    <w:rsid w:val="00226234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3140C2"/>
    <w:rsid w:val="0032739E"/>
    <w:rsid w:val="003305C4"/>
    <w:rsid w:val="003853C3"/>
    <w:rsid w:val="003B1E28"/>
    <w:rsid w:val="003B2F85"/>
    <w:rsid w:val="003B32BF"/>
    <w:rsid w:val="003B3EA8"/>
    <w:rsid w:val="003E6D19"/>
    <w:rsid w:val="0041156B"/>
    <w:rsid w:val="00457679"/>
    <w:rsid w:val="00463999"/>
    <w:rsid w:val="004B189D"/>
    <w:rsid w:val="004C0125"/>
    <w:rsid w:val="004C4CE8"/>
    <w:rsid w:val="004E014A"/>
    <w:rsid w:val="004F3F9B"/>
    <w:rsid w:val="00500899"/>
    <w:rsid w:val="005273A2"/>
    <w:rsid w:val="00531BCE"/>
    <w:rsid w:val="00536A91"/>
    <w:rsid w:val="00570770"/>
    <w:rsid w:val="0057184E"/>
    <w:rsid w:val="005869D2"/>
    <w:rsid w:val="00592A99"/>
    <w:rsid w:val="005F2FC7"/>
    <w:rsid w:val="005F5CCF"/>
    <w:rsid w:val="0063487A"/>
    <w:rsid w:val="00636908"/>
    <w:rsid w:val="006742BC"/>
    <w:rsid w:val="006C08EB"/>
    <w:rsid w:val="006C7D5B"/>
    <w:rsid w:val="006F1F4F"/>
    <w:rsid w:val="006F3573"/>
    <w:rsid w:val="0072368D"/>
    <w:rsid w:val="00725767"/>
    <w:rsid w:val="00732ABD"/>
    <w:rsid w:val="007349A5"/>
    <w:rsid w:val="0076776D"/>
    <w:rsid w:val="00772C3C"/>
    <w:rsid w:val="007A7A1B"/>
    <w:rsid w:val="007B2332"/>
    <w:rsid w:val="007E40A4"/>
    <w:rsid w:val="007E4AE7"/>
    <w:rsid w:val="008171A0"/>
    <w:rsid w:val="0083437D"/>
    <w:rsid w:val="00835782"/>
    <w:rsid w:val="00850B52"/>
    <w:rsid w:val="00853EB3"/>
    <w:rsid w:val="0089357C"/>
    <w:rsid w:val="00893CD3"/>
    <w:rsid w:val="00896BC2"/>
    <w:rsid w:val="008A4AA3"/>
    <w:rsid w:val="008A7737"/>
    <w:rsid w:val="008B36BA"/>
    <w:rsid w:val="008C4AB9"/>
    <w:rsid w:val="008D0B7E"/>
    <w:rsid w:val="008D13BA"/>
    <w:rsid w:val="008D17BD"/>
    <w:rsid w:val="008F5D60"/>
    <w:rsid w:val="00900ADA"/>
    <w:rsid w:val="0092197E"/>
    <w:rsid w:val="009264AF"/>
    <w:rsid w:val="00960511"/>
    <w:rsid w:val="00963CB5"/>
    <w:rsid w:val="00965571"/>
    <w:rsid w:val="00980EBB"/>
    <w:rsid w:val="0098654A"/>
    <w:rsid w:val="00990BB7"/>
    <w:rsid w:val="00991350"/>
    <w:rsid w:val="00992D17"/>
    <w:rsid w:val="009A038E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6673A"/>
    <w:rsid w:val="00AA02DB"/>
    <w:rsid w:val="00AD6F61"/>
    <w:rsid w:val="00B32323"/>
    <w:rsid w:val="00B400C0"/>
    <w:rsid w:val="00B85DE7"/>
    <w:rsid w:val="00BA2E91"/>
    <w:rsid w:val="00BB4DA4"/>
    <w:rsid w:val="00BC75B0"/>
    <w:rsid w:val="00BD0B67"/>
    <w:rsid w:val="00BF20FE"/>
    <w:rsid w:val="00BF5620"/>
    <w:rsid w:val="00C878CC"/>
    <w:rsid w:val="00CA026A"/>
    <w:rsid w:val="00CB2A4F"/>
    <w:rsid w:val="00CD3047"/>
    <w:rsid w:val="00CD423D"/>
    <w:rsid w:val="00CF026C"/>
    <w:rsid w:val="00D049FB"/>
    <w:rsid w:val="00D066D6"/>
    <w:rsid w:val="00D2747A"/>
    <w:rsid w:val="00D552F8"/>
    <w:rsid w:val="00D61D9A"/>
    <w:rsid w:val="00D82FF1"/>
    <w:rsid w:val="00DA628D"/>
    <w:rsid w:val="00DC2364"/>
    <w:rsid w:val="00DE79F2"/>
    <w:rsid w:val="00DF14C7"/>
    <w:rsid w:val="00E06F43"/>
    <w:rsid w:val="00E10379"/>
    <w:rsid w:val="00E13859"/>
    <w:rsid w:val="00E242CF"/>
    <w:rsid w:val="00E54369"/>
    <w:rsid w:val="00E7715C"/>
    <w:rsid w:val="00E832C8"/>
    <w:rsid w:val="00E84533"/>
    <w:rsid w:val="00E93CA9"/>
    <w:rsid w:val="00EA658A"/>
    <w:rsid w:val="00EC3848"/>
    <w:rsid w:val="00EE643F"/>
    <w:rsid w:val="00EE7227"/>
    <w:rsid w:val="00F02DA4"/>
    <w:rsid w:val="00F02E5D"/>
    <w:rsid w:val="00F2295C"/>
    <w:rsid w:val="00F30A5E"/>
    <w:rsid w:val="00F46BE5"/>
    <w:rsid w:val="00F81904"/>
    <w:rsid w:val="00F82B32"/>
    <w:rsid w:val="00FB0556"/>
    <w:rsid w:val="00FD1E74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4584</Characters>
  <Application>Microsoft Office Word</Application>
  <DocSecurity>0</DocSecurity>
  <Lines>38</Lines>
  <Paragraphs>10</Paragraphs>
  <ScaleCrop>false</ScaleCrop>
  <Company>Microsoft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2023-10-01T22:18:00Z</dcterms:created>
  <dcterms:modified xsi:type="dcterms:W3CDTF">2023-10-01T22:18:00Z</dcterms:modified>
</cp:coreProperties>
</file>